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Calibri" w:hAnsi="Calibri"/>
          <w:b/>
          <w:i w:val="0"/>
          <w:color w:val="1F3A56"/>
          <w:sz w:val="44"/>
        </w:rPr>
        <w:t>AttriSense AI — Round 2 Evening Presentation Script</w:t>
      </w:r>
    </w:p>
    <w:p>
      <w:pPr>
        <w:spacing w:after="360" w:line="276" w:lineRule="auto"/>
        <w:jc w:val="center"/>
      </w:pPr>
      <w:r>
        <w:rPr>
          <w:rFonts w:ascii="Calibri" w:hAnsi="Calibri"/>
          <w:b w:val="0"/>
          <w:i/>
          <w:color w:val="6366F1"/>
          <w:sz w:val="24"/>
        </w:rPr>
        <w:t>LTTS Global Hackathon 2026 | Intermediate Jury Round</w:t>
      </w:r>
    </w:p>
    <w:p>
      <w:pPr>
        <w:spacing w:before="160" w:after="160" w:line="276" w:lineRule="auto"/>
        <w:ind w:left="576"/>
        <w:pBdr>
          <w:left w:val="single" w:sz="24" w:space="12" w:color="6366F1"/>
        </w:pBdr>
        <w:shd w:fill="F5F7FF"/>
      </w:pPr>
      <w:r>
        <w:rPr>
          <w:rFonts w:ascii="Calibri" w:hAnsi="Calibri"/>
          <w:b w:val="0"/>
          <w:i/>
          <w:color w:val="1F3A56"/>
          <w:sz w:val="20"/>
        </w:rPr>
        <w:t>Context: This is your 2nd of 3 jury rounds. You have built the working system. The goal tonight is NOT a full technical demo — it is to convince the jury of the problem, your approach, and your unique differentiation. Save the live AI agents chat demo for the final round tomorrow. Focus tonight on the working dashboard, the business case, and proof of concept.</w:t>
      </w:r>
    </w:p>
    <w:p>
      <w:pPr>
        <w:pStyle w:val="Heading1"/>
        <w:keepNext/>
        <w:spacing w:before="240" w:after="120"/>
      </w:pPr>
      <w:r>
        <w:rPr>
          <w:rFonts w:ascii="Calibri" w:hAnsi="Calibri"/>
          <w:b/>
          <w:color w:val="1F3A56"/>
          <w:sz w:val="36"/>
        </w:rPr>
        <w:t>1. Team Role Assignment &amp; Pitch Strategy</w:t>
      </w:r>
    </w:p>
    <w:p>
      <w:pPr>
        <w:spacing w:after="120" w:line="276" w:lineRule="auto"/>
        <w:jc w:val="left"/>
      </w:pPr>
      <w:r>
        <w:rPr>
          <w:rFonts w:ascii="Calibri" w:hAnsi="Calibri"/>
          <w:b w:val="0"/>
          <w:i w:val="0"/>
          <w:sz w:val="22"/>
        </w:rPr>
        <w:t>Our team consists of 4 members: 1 Senior CSE Engineer (5+ years experience) and 3 Graduate Engineer Trainees (GETs) from Mechanical and Electrical backgrounds. This diversity is our core pitch strength: the domain experts (GETs) identified the business problems and calibrated the model, while the CSE Engineer built the enterprise-grade AI architecture.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E5E7EB"/>
          <w:left w:val="none"/>
          <w:right w:val="none"/>
          <w:insideV w:val="none"/>
        </w:tblBorders>
      </w:tblPr>
      <w:tblGrid>
        <w:gridCol w:w="2160"/>
        <w:gridCol w:w="2160"/>
        <w:gridCol w:w="5040"/>
      </w:tblGrid>
      <w:tr>
        <w:tc>
          <w:tcPr>
            <w:tcW w:type="dxa" w:w="3120"/>
            <w:vAlign w:val="center"/>
            <w:tcMar>
              <w:top w:w="120" w:type="dxa"/>
              <w:bottom w:w="120" w:type="dxa"/>
              <w:left w:w="150" w:type="dxa"/>
              <w:right w:w="150" w:type="dxa"/>
            </w:tcMar>
            <w:shd w:fill="1F3A56"/>
          </w:tcPr>
          <w:p>
            <w:pPr>
              <w:spacing w:before="0" w:after="0" w:line="252" w:lineRule="auto"/>
              <w:jc w:val="left"/>
            </w:pPr>
            <w:r>
              <w:rPr>
                <w:rFonts w:ascii="Calibri" w:hAnsi="Calibri"/>
                <w:b/>
                <w:i w:val="0"/>
                <w:color w:val="FFFFFF"/>
                <w:sz w:val="20"/>
              </w:rPr>
              <w:t>Presenter</w:t>
            </w:r>
          </w:p>
        </w:tc>
        <w:tc>
          <w:tcPr>
            <w:tcW w:type="dxa" w:w="3120"/>
            <w:vAlign w:val="center"/>
            <w:tcMar>
              <w:top w:w="120" w:type="dxa"/>
              <w:bottom w:w="120" w:type="dxa"/>
              <w:left w:w="150" w:type="dxa"/>
              <w:right w:w="150" w:type="dxa"/>
            </w:tcMar>
            <w:shd w:fill="1F3A56"/>
          </w:tcPr>
          <w:p>
            <w:pPr>
              <w:spacing w:before="0" w:after="0" w:line="252" w:lineRule="auto"/>
              <w:jc w:val="left"/>
            </w:pPr>
            <w:r>
              <w:rPr>
                <w:rFonts w:ascii="Calibri" w:hAnsi="Calibri"/>
                <w:b/>
                <w:i w:val="0"/>
                <w:color w:val="FFFFFF"/>
                <w:sz w:val="20"/>
              </w:rPr>
              <w:t>Background &amp; Role</w:t>
            </w:r>
          </w:p>
        </w:tc>
        <w:tc>
          <w:tcPr>
            <w:tcW w:type="dxa" w:w="3120"/>
            <w:vAlign w:val="center"/>
            <w:tcMar>
              <w:top w:w="120" w:type="dxa"/>
              <w:bottom w:w="120" w:type="dxa"/>
              <w:left w:w="150" w:type="dxa"/>
              <w:right w:w="150" w:type="dxa"/>
            </w:tcMar>
            <w:shd w:fill="1F3A56"/>
          </w:tcPr>
          <w:p>
            <w:pPr>
              <w:spacing w:before="0" w:after="0" w:line="252" w:lineRule="auto"/>
              <w:jc w:val="left"/>
            </w:pPr>
            <w:r>
              <w:rPr>
                <w:rFonts w:ascii="Calibri" w:hAnsi="Calibri"/>
                <w:b/>
                <w:i w:val="0"/>
                <w:color w:val="FFFFFF"/>
                <w:sz w:val="20"/>
              </w:rPr>
              <w:t>Speaking Focus</w:t>
            </w:r>
          </w:p>
        </w:tc>
      </w:tr>
      <w:tr>
        <w:tc>
          <w:tcPr>
            <w:tcW w:type="dxa" w:w="3120"/>
            <w:vAlign w:val="center"/>
            <w:tcMar>
              <w:top w:w="120" w:type="dxa"/>
              <w:bottom w:w="120" w:type="dxa"/>
              <w:left w:w="150" w:type="dxa"/>
              <w:right w:w="150" w:type="dxa"/>
            </w:tcMar>
          </w:tcPr>
          <w:p>
            <w:pPr>
              <w:spacing w:before="0" w:after="0" w:line="252" w:lineRule="auto"/>
              <w:jc w:val="left"/>
            </w:pPr>
            <w:r>
              <w:rPr>
                <w:rFonts w:ascii="Calibri" w:hAnsi="Calibri"/>
                <w:b w:val="0"/>
                <w:i w:val="0"/>
                <w:sz w:val="19"/>
              </w:rPr>
              <w:t>GET #1</w:t>
            </w:r>
          </w:p>
        </w:tc>
        <w:tc>
          <w:tcPr>
            <w:tcW w:type="dxa" w:w="3120"/>
            <w:vAlign w:val="center"/>
            <w:tcMar>
              <w:top w:w="120" w:type="dxa"/>
              <w:bottom w:w="120" w:type="dxa"/>
              <w:left w:w="150" w:type="dxa"/>
              <w:right w:w="150" w:type="dxa"/>
            </w:tcMar>
          </w:tcPr>
          <w:p>
            <w:pPr>
              <w:spacing w:before="0" w:after="0" w:line="252" w:lineRule="auto"/>
              <w:jc w:val="left"/>
            </w:pPr>
            <w:r>
              <w:rPr>
                <w:rFonts w:ascii="Calibri" w:hAnsi="Calibri"/>
                <w:b w:val="0"/>
                <w:i w:val="0"/>
                <w:sz w:val="19"/>
              </w:rPr>
              <w:t>Mech / domain Expert</w:t>
            </w:r>
          </w:p>
        </w:tc>
        <w:tc>
          <w:tcPr>
            <w:tcW w:type="dxa" w:w="3120"/>
            <w:vAlign w:val="center"/>
            <w:tcMar>
              <w:top w:w="120" w:type="dxa"/>
              <w:bottom w:w="120" w:type="dxa"/>
              <w:left w:w="150" w:type="dxa"/>
              <w:right w:w="150" w:type="dxa"/>
            </w:tcMar>
          </w:tcPr>
          <w:p>
            <w:pPr>
              <w:spacing w:before="0" w:after="0" w:line="252" w:lineRule="auto"/>
              <w:jc w:val="left"/>
            </w:pPr>
            <w:r>
              <w:rPr>
                <w:rFonts w:ascii="Calibri" w:hAnsi="Calibri"/>
                <w:b w:val="0"/>
                <w:i w:val="0"/>
                <w:sz w:val="19"/>
              </w:rPr>
              <w:t>Opening statement, problem context, LTTS &amp; industry attrition rates, why 10% target is healthy</w:t>
            </w:r>
          </w:p>
        </w:tc>
      </w:tr>
      <w:tr>
        <w:tc>
          <w:tcPr>
            <w:tcW w:type="dxa" w:w="3120"/>
            <w:vAlign w:val="center"/>
            <w:tcMar>
              <w:top w:w="120" w:type="dxa"/>
              <w:bottom w:w="120" w:type="dxa"/>
              <w:left w:w="150" w:type="dxa"/>
              <w:right w:w="150" w:type="dxa"/>
            </w:tcMar>
          </w:tcPr>
          <w:p>
            <w:pPr>
              <w:spacing w:before="0" w:after="0" w:line="252" w:lineRule="auto"/>
              <w:jc w:val="left"/>
            </w:pPr>
            <w:r>
              <w:rPr>
                <w:rFonts w:ascii="Calibri" w:hAnsi="Calibri"/>
                <w:b w:val="0"/>
                <w:i w:val="0"/>
                <w:sz w:val="19"/>
              </w:rPr>
              <w:t>GET #2</w:t>
            </w:r>
          </w:p>
        </w:tc>
        <w:tc>
          <w:tcPr>
            <w:tcW w:type="dxa" w:w="3120"/>
            <w:vAlign w:val="center"/>
            <w:tcMar>
              <w:top w:w="120" w:type="dxa"/>
              <w:bottom w:w="120" w:type="dxa"/>
              <w:left w:w="150" w:type="dxa"/>
              <w:right w:w="150" w:type="dxa"/>
            </w:tcMar>
          </w:tcPr>
          <w:p>
            <w:pPr>
              <w:spacing w:before="0" w:after="0" w:line="252" w:lineRule="auto"/>
              <w:jc w:val="left"/>
            </w:pPr>
            <w:r>
              <w:rPr>
                <w:rFonts w:ascii="Calibri" w:hAnsi="Calibri"/>
                <w:b w:val="0"/>
                <w:i w:val="0"/>
                <w:sz w:val="19"/>
              </w:rPr>
              <w:t>Elec / Research Lead</w:t>
            </w:r>
          </w:p>
        </w:tc>
        <w:tc>
          <w:tcPr>
            <w:tcW w:type="dxa" w:w="3120"/>
            <w:vAlign w:val="center"/>
            <w:tcMar>
              <w:top w:w="120" w:type="dxa"/>
              <w:bottom w:w="120" w:type="dxa"/>
              <w:left w:w="150" w:type="dxa"/>
              <w:right w:w="150" w:type="dxa"/>
            </w:tcMar>
          </w:tcPr>
          <w:p>
            <w:pPr>
              <w:spacing w:before="0" w:after="0" w:line="252" w:lineRule="auto"/>
              <w:jc w:val="left"/>
            </w:pPr>
            <w:r>
              <w:rPr>
                <w:rFonts w:ascii="Calibri" w:hAnsi="Calibri"/>
                <w:b w:val="0"/>
                <w:i w:val="0"/>
                <w:sz w:val="19"/>
              </w:rPr>
              <w:t>Competitive analysis, market research response, why Oracle/SAP fail, and ROI in Millions</w:t>
            </w:r>
          </w:p>
        </w:tc>
      </w:tr>
      <w:tr>
        <w:tc>
          <w:tcPr>
            <w:tcW w:type="dxa" w:w="3120"/>
            <w:vAlign w:val="center"/>
            <w:tcMar>
              <w:top w:w="120" w:type="dxa"/>
              <w:bottom w:w="120" w:type="dxa"/>
              <w:left w:w="150" w:type="dxa"/>
              <w:right w:w="150" w:type="dxa"/>
            </w:tcMar>
          </w:tcPr>
          <w:p>
            <w:pPr>
              <w:spacing w:before="0" w:after="0" w:line="252" w:lineRule="auto"/>
              <w:jc w:val="left"/>
            </w:pPr>
            <w:r>
              <w:rPr>
                <w:rFonts w:ascii="Calibri" w:hAnsi="Calibri"/>
                <w:b w:val="0"/>
                <w:i w:val="0"/>
                <w:sz w:val="19"/>
              </w:rPr>
              <w:t>GET #3</w:t>
            </w:r>
          </w:p>
        </w:tc>
        <w:tc>
          <w:tcPr>
            <w:tcW w:type="dxa" w:w="3120"/>
            <w:vAlign w:val="center"/>
            <w:tcMar>
              <w:top w:w="120" w:type="dxa"/>
              <w:bottom w:w="120" w:type="dxa"/>
              <w:left w:w="150" w:type="dxa"/>
              <w:right w:w="150" w:type="dxa"/>
            </w:tcMar>
          </w:tcPr>
          <w:p>
            <w:pPr>
              <w:spacing w:before="0" w:after="0" w:line="252" w:lineRule="auto"/>
              <w:jc w:val="left"/>
            </w:pPr>
            <w:r>
              <w:rPr>
                <w:rFonts w:ascii="Calibri" w:hAnsi="Calibri"/>
                <w:b w:val="0"/>
                <w:i w:val="0"/>
                <w:sz w:val="19"/>
              </w:rPr>
              <w:t>Mech / Product Lead</w:t>
            </w:r>
          </w:p>
        </w:tc>
        <w:tc>
          <w:tcPr>
            <w:tcW w:type="dxa" w:w="3120"/>
            <w:vAlign w:val="center"/>
            <w:tcMar>
              <w:top w:w="120" w:type="dxa"/>
              <w:bottom w:w="120" w:type="dxa"/>
              <w:left w:w="150" w:type="dxa"/>
              <w:right w:w="150" w:type="dxa"/>
            </w:tcMar>
          </w:tcPr>
          <w:p>
            <w:pPr>
              <w:spacing w:before="0" w:after="0" w:line="252" w:lineRule="auto"/>
              <w:jc w:val="left"/>
            </w:pPr>
            <w:r>
              <w:rPr>
                <w:rFonts w:ascii="Calibri" w:hAnsi="Calibri"/>
                <w:b w:val="0"/>
                <w:i w:val="0"/>
                <w:sz w:val="19"/>
              </w:rPr>
              <w:t>HR Dashboard walk-through, live employee manual entry, and what-if scenario testing</w:t>
            </w:r>
          </w:p>
        </w:tc>
      </w:tr>
      <w:tr>
        <w:tc>
          <w:tcPr>
            <w:tcW w:type="dxa" w:w="3120"/>
            <w:vAlign w:val="center"/>
            <w:tcMar>
              <w:top w:w="120" w:type="dxa"/>
              <w:bottom w:w="120" w:type="dxa"/>
              <w:left w:w="150" w:type="dxa"/>
              <w:right w:w="150" w:type="dxa"/>
            </w:tcMar>
          </w:tcPr>
          <w:p>
            <w:pPr>
              <w:spacing w:before="0" w:after="0" w:line="252" w:lineRule="auto"/>
              <w:jc w:val="left"/>
            </w:pPr>
            <w:r>
              <w:rPr>
                <w:rFonts w:ascii="Calibri" w:hAnsi="Calibri"/>
                <w:b w:val="0"/>
                <w:i w:val="0"/>
                <w:sz w:val="19"/>
              </w:rPr>
              <w:t>CSE Engineer</w:t>
            </w:r>
          </w:p>
        </w:tc>
        <w:tc>
          <w:tcPr>
            <w:tcW w:type="dxa" w:w="3120"/>
            <w:vAlign w:val="center"/>
            <w:tcMar>
              <w:top w:w="120" w:type="dxa"/>
              <w:bottom w:w="120" w:type="dxa"/>
              <w:left w:w="150" w:type="dxa"/>
              <w:right w:w="150" w:type="dxa"/>
            </w:tcMar>
          </w:tcPr>
          <w:p>
            <w:pPr>
              <w:spacing w:before="0" w:after="0" w:line="252" w:lineRule="auto"/>
              <w:jc w:val="left"/>
            </w:pPr>
            <w:r>
              <w:rPr>
                <w:rFonts w:ascii="Calibri" w:hAnsi="Calibri"/>
                <w:b w:val="0"/>
                <w:i w:val="0"/>
                <w:sz w:val="19"/>
              </w:rPr>
              <w:t>CSE (5+ years exp)</w:t>
            </w:r>
          </w:p>
        </w:tc>
        <w:tc>
          <w:tcPr>
            <w:tcW w:type="dxa" w:w="3120"/>
            <w:vAlign w:val="center"/>
            <w:tcMar>
              <w:top w:w="120" w:type="dxa"/>
              <w:bottom w:w="120" w:type="dxa"/>
              <w:left w:w="150" w:type="dxa"/>
              <w:right w:w="150" w:type="dxa"/>
            </w:tcMar>
          </w:tcPr>
          <w:p>
            <w:pPr>
              <w:spacing w:before="0" w:after="0" w:line="252" w:lineRule="auto"/>
              <w:jc w:val="left"/>
            </w:pPr>
            <w:r>
              <w:rPr>
                <w:rFonts w:ascii="Calibri" w:hAnsi="Calibri"/>
                <w:b w:val="0"/>
                <w:i w:val="0"/>
                <w:sz w:val="19"/>
              </w:rPr>
              <w:t>Technical stack (ADK 2.4.0, MCP, Gemini), agents architecture, security callbacks, and closing</w:t>
            </w:r>
          </w:p>
        </w:tc>
      </w:tr>
    </w:tbl>
    <w:p>
      <w:pPr>
        <w:spacing w:after="120" w:line="276" w:lineRule="auto"/>
        <w:jc w:val="left"/>
      </w:pPr>
    </w:p>
    <w:p>
      <w:pPr>
        <w:pStyle w:val="Heading1"/>
        <w:keepNext/>
        <w:spacing w:before="240" w:after="120"/>
      </w:pPr>
      <w:r>
        <w:rPr>
          <w:rFonts w:ascii="Calibri" w:hAnsi="Calibri"/>
          <w:b/>
          <w:color w:val="1F3A56"/>
          <w:sz w:val="36"/>
        </w:rPr>
        <w:t>2. Scripted Flow (Total 10 Minutes)</w:t>
      </w:r>
    </w:p>
    <w:p>
      <w:pPr>
        <w:pStyle w:val="Heading2"/>
        <w:keepNext/>
        <w:spacing w:before="240" w:after="120"/>
      </w:pPr>
      <w:r>
        <w:rPr>
          <w:rFonts w:ascii="Calibri" w:hAnsi="Calibri"/>
          <w:b/>
          <w:color w:val="6366F1"/>
          <w:sz w:val="28"/>
        </w:rPr>
        <w:t>Part A: Problem &amp; Attrition Reality (GET #1 — 2.5 Min)</w:t>
      </w:r>
    </w:p>
    <w:p>
      <w:pPr>
        <w:spacing w:after="120" w:line="276" w:lineRule="auto"/>
        <w:jc w:val="left"/>
      </w:pPr>
      <w:r>
        <w:rPr>
          <w:rFonts w:ascii="Calibri" w:hAnsi="Calibri"/>
          <w:b w:val="0"/>
          <w:i w:val="0"/>
          <w:sz w:val="22"/>
        </w:rPr>
        <w:t>"Good evening. I am [Name], a Graduate Engineer Trainee with LTTS. Let's start with a number: $10,000. That is the global minimum replacement cost for a single IT professional — accounting for recruiting, onboarding, training, and lost productivity. At LTTS, where attrition has historically hovered between 13% and 18% (similar to the Indian IT industry standard of 15-22%), attrition is a multi-million dollar problem. But here is the major misconception: we do NOT want an attrition rate of 0%."</w:t>
      </w:r>
    </w:p>
    <w:p>
      <w:pPr>
        <w:spacing w:before="160" w:after="160" w:line="276" w:lineRule="auto"/>
        <w:ind w:left="576"/>
        <w:pBdr>
          <w:left w:val="single" w:sz="24" w:space="12" w:color="6366F1"/>
        </w:pBdr>
        <w:shd w:fill="F5F7FF"/>
      </w:pPr>
      <w:r>
        <w:rPr>
          <w:rFonts w:ascii="Calibri" w:hAnsi="Calibri"/>
          <w:b w:val="0"/>
          <w:i/>
          <w:color w:val="1F3A56"/>
          <w:sz w:val="20"/>
        </w:rPr>
        <w:t>Natural Attrition is Healthy: An organization needs 8% to 12% annual attrition to support natural retirements, career transitions, performance-related exits, cost restructuring, and to invite new talent with fresh ideas. Our goal is not to stop attrition entirely. Our goal is to prevent INVOLUNTARY attrition of our top high-value performers.</w:t>
      </w:r>
    </w:p>
    <w:p>
      <w:pPr>
        <w:pStyle w:val="Heading2"/>
        <w:keepNext/>
        <w:spacing w:before="240" w:after="120"/>
      </w:pPr>
      <w:r>
        <w:rPr>
          <w:rFonts w:ascii="Calibri" w:hAnsi="Calibri"/>
          <w:b/>
          <w:color w:val="6366F1"/>
          <w:sz w:val="28"/>
        </w:rPr>
        <w:t>Part B: Market Landscape &amp; Innovation (GET #2 — 2 Min)</w:t>
      </w:r>
    </w:p>
    <w:p>
      <w:pPr>
        <w:spacing w:after="120" w:line="276" w:lineRule="auto"/>
        <w:jc w:val="left"/>
      </w:pPr>
      <w:r>
        <w:rPr>
          <w:rFonts w:ascii="Calibri" w:hAnsi="Calibri"/>
          <w:b w:val="0"/>
          <w:i w:val="0"/>
          <w:sz w:val="22"/>
        </w:rPr>
        <w:t>"During our hackathon prep, we conducted market research. Big HCM players like Workday, SAP SuccessFactors, and Oracle already have flight-risk analytics. So, why build AttriSense AI?"</w:t>
      </w:r>
    </w:p>
    <w:p>
      <w:pPr>
        <w:pStyle w:val="ListBullet"/>
        <w:spacing w:after="80" w:line="276" w:lineRule="auto"/>
      </w:pPr>
      <w:r>
        <w:rPr>
          <w:rFonts w:ascii="Calibri" w:hAnsi="Calibri"/>
          <w:b/>
          <w:i w:val="0"/>
          <w:sz w:val="22"/>
        </w:rPr>
        <w:t xml:space="preserve">1. </w:t>
      </w:r>
      <w:r>
        <w:rPr>
          <w:rFonts w:ascii="Calibri" w:hAnsi="Calibri"/>
          <w:b w:val="0"/>
          <w:i w:val="0"/>
          <w:sz w:val="22"/>
        </w:rPr>
        <w:t>Explainability: Competitors show a simple risk score (e.g. 70%). We show the exact 14-parameter breakdown so HR knows exactly WHY they want to leave.</w:t>
      </w:r>
    </w:p>
    <w:p>
      <w:pPr>
        <w:pStyle w:val="ListBullet"/>
        <w:spacing w:after="80" w:line="276" w:lineRule="auto"/>
      </w:pPr>
      <w:r>
        <w:rPr>
          <w:rFonts w:ascii="Calibri" w:hAnsi="Calibri"/>
          <w:b/>
          <w:i w:val="0"/>
          <w:sz w:val="22"/>
        </w:rPr>
        <w:t xml:space="preserve">2. </w:t>
      </w:r>
      <w:r>
        <w:rPr>
          <w:rFonts w:ascii="Calibri" w:hAnsi="Calibri"/>
          <w:b w:val="0"/>
          <w:i w:val="0"/>
          <w:sz w:val="22"/>
        </w:rPr>
        <w:t>AI-Generated Personalized Plans: Our Retention Advisor agent designs specific intervention playbooks (actions, owners, timelines) tailored to the individual's risk drivers.</w:t>
      </w:r>
    </w:p>
    <w:p>
      <w:pPr>
        <w:pStyle w:val="ListBullet"/>
        <w:spacing w:after="80" w:line="276" w:lineRule="auto"/>
      </w:pPr>
      <w:r>
        <w:rPr>
          <w:rFonts w:ascii="Calibri" w:hAnsi="Calibri"/>
          <w:b/>
          <w:i w:val="0"/>
          <w:sz w:val="22"/>
        </w:rPr>
        <w:t xml:space="preserve">3. </w:t>
      </w:r>
      <w:r>
        <w:rPr>
          <w:rFonts w:ascii="Calibri" w:hAnsi="Calibri"/>
          <w:b w:val="0"/>
          <w:i w:val="0"/>
          <w:sz w:val="22"/>
        </w:rPr>
        <w:t>Real-time Entry: Instead of batch monthly runs, HR managers can input an employee on-the-fly and get instant risk calculations.</w:t>
      </w:r>
    </w:p>
    <w:p>
      <w:pPr>
        <w:pStyle w:val="Heading2"/>
        <w:keepNext/>
        <w:spacing w:before="240" w:after="120"/>
      </w:pPr>
      <w:r>
        <w:rPr>
          <w:rFonts w:ascii="Calibri" w:hAnsi="Calibri"/>
          <w:b/>
          <w:color w:val="6366F1"/>
          <w:sz w:val="28"/>
        </w:rPr>
        <w:t>Part C: Technical Architecture (CSE Engineer — 2 Min)</w:t>
      </w:r>
    </w:p>
    <w:p>
      <w:pPr>
        <w:spacing w:after="120" w:line="276" w:lineRule="auto"/>
        <w:jc w:val="left"/>
      </w:pPr>
      <w:r>
        <w:rPr>
          <w:rFonts w:ascii="Calibri" w:hAnsi="Calibri"/>
          <w:b w:val="0"/>
          <w:i w:val="0"/>
          <w:sz w:val="22"/>
        </w:rPr>
        <w:t>"We built our solution using Google's new Agent Development Kit (ADK) 2.4.0. Instead of one massive, unreliable prompt, we use a Multi-Agent Orchestration pattern. Four specialist agents (Signal, Sentiment, Risk, and Retention) cooperate. Crucially, to prevent LLM hallucinations, we utilize Model Context Protocol (MCP). Our agents do not guess data — they fetch it via secure, real-time MCP tool calls. Security is baked in: our custom callback intercepts all calls to scrub PII (Aadhaar, salaries) and blocks prompt injections."</w:t>
      </w:r>
    </w:p>
    <w:p>
      <w:pPr>
        <w:pStyle w:val="Heading2"/>
        <w:keepNext/>
        <w:spacing w:before="240" w:after="120"/>
      </w:pPr>
      <w:r>
        <w:rPr>
          <w:rFonts w:ascii="Calibri" w:hAnsi="Calibri"/>
          <w:b/>
          <w:color w:val="6366F1"/>
          <w:sz w:val="28"/>
        </w:rPr>
        <w:t>Part D: Live Dashboard Walkthrough (GET #3 — 2 Min)</w:t>
      </w:r>
    </w:p>
    <w:p>
      <w:pPr>
        <w:spacing w:after="120" w:line="276" w:lineRule="auto"/>
        <w:jc w:val="left"/>
      </w:pPr>
      <w:r>
        <w:rPr>
          <w:rFonts w:ascii="Calibri" w:hAnsi="Calibri"/>
          <w:b w:val="0"/>
          <w:i w:val="0"/>
          <w:sz w:val="22"/>
        </w:rPr>
        <w:t>"Here is our live HR dashboard (http://127.0.0.1:18082/dashboard) currently monitoring 1,000 employees. You can see aggregate statistics, a department risk heatmap showing that Engineering is at high risk, and a searchable, paginated register of all employees. But the most powerful feature is manual entry. We can add a new employee right now. [Enter a sample: name='Test Entry', department='Engineering', tenure=3.5 years, low salary percentile, 12 job searches]. Look at that — instantly, the system calculates 75.6% HIGH Risk and highlights the compensation gap as the primary driver."</w:t>
      </w:r>
    </w:p>
    <w:p>
      <w:pPr>
        <w:pStyle w:val="Heading2"/>
        <w:keepNext/>
        <w:spacing w:before="240" w:after="120"/>
      </w:pPr>
      <w:r>
        <w:rPr>
          <w:rFonts w:ascii="Calibri" w:hAnsi="Calibri"/>
          <w:b/>
          <w:color w:val="6366F1"/>
          <w:sz w:val="28"/>
        </w:rPr>
        <w:t>Part E: Closing &amp; Q&amp;A Prep (CSE Engineer — 1.5 Min)</w:t>
      </w:r>
    </w:p>
    <w:p>
      <w:pPr>
        <w:spacing w:after="120" w:line="276" w:lineRule="auto"/>
        <w:jc w:val="left"/>
      </w:pPr>
      <w:r>
        <w:rPr>
          <w:rFonts w:ascii="Calibri" w:hAnsi="Calibri"/>
          <w:b w:val="0"/>
          <w:i w:val="0"/>
          <w:sz w:val="22"/>
        </w:rPr>
        <w:t>"In conclusion, AttriSense AI shifts HR from reactive damage control to proactive retention. Even a minor 10% reduction in LTTS's involuntary attrition translates to over $3.4 Million in annual savings. We are now ready for your questions."</w:t>
      </w:r>
    </w:p>
    <w:p>
      <w:pPr>
        <w:pStyle w:val="Heading1"/>
        <w:keepNext/>
        <w:spacing w:before="240" w:after="120"/>
      </w:pPr>
      <w:r>
        <w:rPr>
          <w:rFonts w:ascii="Calibri" w:hAnsi="Calibri"/>
          <w:b/>
          <w:color w:val="1F3A56"/>
          <w:sz w:val="36"/>
        </w:rPr>
        <w:t>3. High-Probability Jury Questions &amp; Answers</w:t>
      </w:r>
    </w:p>
    <w:p>
      <w:pPr>
        <w:spacing w:after="120" w:line="276" w:lineRule="auto"/>
        <w:jc w:val="left"/>
      </w:pPr>
      <w:r>
        <w:rPr>
          <w:b/>
        </w:rPr>
        <w:t>Q: Since Workday/SAP already do this, why would LTTS buy/build this?</w:t>
        <w:br/>
      </w:r>
      <w:r>
        <w:t>A: Cost and Customization. SAP/Workday charge massive annual enterprise license fees. Additionally, those systems are closed black boxes. AttriSense AI provides transparent parameter weights and fully automated, custom retention actions. It integrates in days via the MCP layer rather than months of implementation.</w:t>
      </w:r>
    </w:p>
    <w:p>
      <w:pPr>
        <w:spacing w:after="120" w:line="276" w:lineRule="auto"/>
        <w:jc w:val="left"/>
      </w:pPr>
      <w:r>
        <w:rPr>
          <w:b/>
        </w:rPr>
        <w:t>Q: With 14 parameters, how do you handle data privacy?</w:t>
        <w:br/>
      </w:r>
      <w:r>
        <w:t>A: Privacy is built-in. First, the data resides locally on the MCP server and never leaves the organization. Second, our before_model_callback strips all PII (names, specific salary values, identifiers) before sending the text to the Gemini API. The LLM only sees masked tokens and logical relationships.</w:t>
      </w:r>
    </w:p>
    <w:p>
      <w:pPr>
        <w:spacing w:after="120" w:line="276" w:lineRule="auto"/>
        <w:jc w:val="left"/>
      </w:pPr>
      <w:r>
        <w:rPr>
          <w:b/>
        </w:rPr>
        <w:t>Q: Why did you choose a Multi-Agent system over a single LLM prompt?</w:t>
        <w:br/>
      </w:r>
      <w:r>
        <w:t>A: Single prompts struggle to balance complex signal evaluation, sentiment classification, math calculations, and playbook formulation. By dividing the labor among 4 specialist agents (e.g. Signal Agent handles parameters, Sentiment Agent handles NLP), each agent remains highly accurate, can be tested independently, and the overall context window stays clean, preventing model confusion.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