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F3A56"/>
          <w:sz w:val="44"/>
        </w:rPr>
        <w:t>AttriSense AI — Hackathon Submission Writeup</w:t>
      </w:r>
    </w:p>
    <w:p>
      <w:pPr>
        <w:spacing w:after="360" w:line="276" w:lineRule="auto"/>
        <w:jc w:val="center"/>
      </w:pPr>
      <w:r>
        <w:rPr>
          <w:rFonts w:ascii="Calibri" w:hAnsi="Calibri"/>
          <w:b w:val="0"/>
          <w:i/>
          <w:color w:val="6366F1"/>
          <w:sz w:val="24"/>
        </w:rPr>
        <w:t>LTTS Global Hackathon 2026 | AI/ML Track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1. Project Title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AttriSense AI: Predictive Employee Attrition Intelligence and Early Leaver Detection Platform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2. Problem Statement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Employee attrition costs organizations 6 to 9 months of an employee's salary per departure (SHRM benchmark). For an organization like LTTS with over 23,000 employees, an average annual attrition rate of 15% results in approximately 3,450 exits yearly. With replacement costs ranging from $10,000 to $15,000 per professional, this creates a $34.5M to $51.7M annual financial drain.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Traditional HR approaches are reactive, occurring only after resignation. Early indicators of exit — such as increasing absenteeism, salary stagnation, lack of recognition, and declining meeting participation — typically manifest 3 to 6 months prior. AttriSense AI proactively intercepts these signals to generate early retention strategies.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3. Proposed Solution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AttriSense AI is an AI-powered predictive analytics platform. It leverages a multi-agent architecture to continuously evaluate 14 behavioral and operational signals, generating a risk percentage and an actionable, customized retention playbook.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E5E7EB"/>
          <w:left w:val="none"/>
          <w:right w:val="none"/>
          <w:insideV w:val="none"/>
        </w:tblBorders>
      </w:tblPr>
      <w:tblGrid>
        <w:gridCol w:w="2160"/>
        <w:gridCol w:w="3600"/>
        <w:gridCol w:w="360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Traditional HR Tools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AttriSense AI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Detection Mode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Reactive (post-resignation)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Proactive (3-6 months early)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Analysis Type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Rule-based report / Static KPIs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Multi-Agent AI reasoning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Key Signals Evaluated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Basic stats (tenure, performance)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14 behavioral &amp; operational signals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Intervention Approach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Generic company-wide policies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Personalized action plan per employee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Security Standards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Basic database auth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PII Scrubbing, Prompt Injection defense, RBAC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Data Freshness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Monthly batch reviews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Real-time updates + manual employee entry</w:t>
            </w:r>
          </w:p>
        </w:tc>
      </w:tr>
    </w:tbl>
    <w:p>
      <w:pPr>
        <w:spacing w:after="120" w:line="276" w:lineRule="auto"/>
        <w:jc w:val="left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4. Technical Implementation Details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6366F1"/>
          <w:sz w:val="28"/>
        </w:rPr>
        <w:t>4.1 Multi-Agent Orchestration Flow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Built on Google Agent Development Kit (ADK) 2.4.0, the orchestrator routes queries through a pipeline of specialists: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sz w:val="22"/>
        </w:rPr>
        <w:t xml:space="preserve">• </w:t>
      </w:r>
      <w:r>
        <w:rPr>
          <w:rFonts w:ascii="Calibri" w:hAnsi="Calibri"/>
          <w:b w:val="0"/>
          <w:i w:val="0"/>
          <w:sz w:val="22"/>
        </w:rPr>
        <w:t>Signal Detection Agent: Retrieves 14 parameters from the Model Context Protocol (MCP) server, flags warnings.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sz w:val="22"/>
        </w:rPr>
        <w:t xml:space="preserve">• </w:t>
      </w:r>
      <w:r>
        <w:rPr>
          <w:rFonts w:ascii="Calibri" w:hAnsi="Calibri"/>
          <w:b w:val="0"/>
          <w:i w:val="0"/>
          <w:sz w:val="22"/>
        </w:rPr>
        <w:t>Sentiment Analysis Agent: Performs NLP evaluations on employee survey feedback, identifying themes like burnout or manager conflict.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sz w:val="22"/>
        </w:rPr>
        <w:t xml:space="preserve">• </w:t>
      </w:r>
      <w:r>
        <w:rPr>
          <w:rFonts w:ascii="Calibri" w:hAnsi="Calibri"/>
          <w:b w:val="0"/>
          <w:i w:val="0"/>
          <w:sz w:val="22"/>
        </w:rPr>
        <w:t>Risk Scoring Agent: Runs the mathematical weighted algorithm to place the employee in Critical, High, Moderate, or Low tiers.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sz w:val="22"/>
        </w:rPr>
        <w:t xml:space="preserve">• </w:t>
      </w:r>
      <w:r>
        <w:rPr>
          <w:rFonts w:ascii="Calibri" w:hAnsi="Calibri"/>
          <w:b w:val="0"/>
          <w:i w:val="0"/>
          <w:sz w:val="22"/>
        </w:rPr>
        <w:t>Retention Advisor Agent: Automatically generates an action plan with timelines and roles.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6366F1"/>
          <w:sz w:val="28"/>
        </w:rPr>
        <w:t>4.2 The 14-Parameter Risk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E5E7EB"/>
          <w:left w:val="none"/>
          <w:right w:val="none"/>
          <w:insideV w:val="none"/>
        </w:tblBorders>
      </w:tblPr>
      <w:tblGrid>
        <w:gridCol w:w="3600"/>
        <w:gridCol w:w="1440"/>
        <w:gridCol w:w="43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 Category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Weight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HR Rationale / Signal Source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Absenteeism Rate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12%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Physical disengagement tracker (Monthly)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Sentiment Score &amp; Mood Index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15%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Emotional disengagement from surveys (Quarterly)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Performance Trend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Declining performance often indicates flight risk (Quarterly)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Compensation Gap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Market pay parity comparison (Annual)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Internal Job Searches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8%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Portal logs indicating active internal exploration (Real-time)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Manager Scorecard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8%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Interpersonal dynamics, 360 review score (Quarterly)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Promotion Gap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8%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Career stagnation timeline (Continuous)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Collaboration &amp; Meeting indices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12%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Social disengagement signals (Weekly/Monthly)</w:t>
            </w:r>
          </w:p>
        </w:tc>
      </w:tr>
    </w:tbl>
    <w:p>
      <w:pPr>
        <w:spacing w:after="120" w:line="276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6366F1"/>
          <w:sz w:val="28"/>
        </w:rPr>
        <w:t>4.3 Security &amp; PII Protection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Security is handled by an active callback prior to model calls. PII (Aadhaar cards, salaries) are scrubbed. Role-Based Access Control limits visibility: line managers cannot view salary percentages, while HR admins have full authorization. Prompt injection attacks are automatically detected and logged.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5. Business Impact &amp; Scalability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By focusing on retaining high-value employees rather than aiming for an unrealistic 0% attrition, the application optimizes HR interventions. In a moderate scenario of preventing 10% of unplanned exits, LTTS stands to save between $3.4 Million and $5.1 Million annually. The architecture is model-agnostic and can be scaled across any enterprise using standard database connectors via the MCP server.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