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Cloud-Based Lab Equipment Calibration and Access Tracker</w:t>
      </w:r>
    </w:p>
    <w:p>
      <w:pPr>
        <w:spacing w:after="320"/>
        <w:jc w:val="center"/>
      </w:pPr>
      <w:r>
        <w:rPr>
          <w:i/>
          <w:iCs/>
          <w:sz w:val="24"/>
          <w:szCs w:val="24"/>
        </w:rPr>
        <w:t xml:space="preserve">Project Review: Problem Statement, Gap Analysis, AWS Activity Justification, and Related Work</w:t>
      </w:r>
    </w:p>
    <w:p>
      <w:pPr>
        <w:pStyle w:val="Heading1"/>
        <w:spacing w:after="160" w:before="320"/>
      </w:pPr>
      <w:r>
        <w:rPr>
          <w:b/>
          <w:bCs/>
        </w:rPr>
        <w:t xml:space="preserve">1. Problem Statement</w:t>
      </w:r>
    </w:p>
    <w:p>
      <w:pPr>
        <w:spacing w:after="160" w:line="276"/>
      </w:pPr>
      <w:r>
        <w:t xml:space="preserve">Colleges with engineering and science laboratories, including mechanical, electronics, chemistry, physics, and biotechnology departments, maintain dozens to hundreds of instruments, such as oscilloscopes, multimeters, universal testing machines (UTMs), spectrophotometers, pressure gauges, and weighing balances. These instruments require periodic calibration to remain accurate and, in many cases, to satisfy accreditation requirements set by bodies such as NBA/NAAC in India or ABET internationally.</w:t>
      </w:r>
    </w:p>
    <w:p>
      <w:pPr>
        <w:spacing w:after="160" w:line="276"/>
      </w:pPr>
      <w:r>
        <w:t xml:space="preserve">At present, this tracking is handled almost universally through a physical register or a per-lab Excel sheet. This manual approach leads to five recurring problems.</w:t>
      </w:r>
    </w:p>
    <w:p>
      <w:pPr>
        <w:pStyle w:val="ListParagraph"/>
        <w:numPr>
          <w:ilvl w:val="0"/>
          <w:numId w:val="2"/>
        </w:numPr>
        <w:spacing w:after="100" w:line="276"/>
      </w:pPr>
      <w:r>
        <w:rPr>
          <w:b/>
          <w:bCs/>
        </w:rPr>
        <w:t xml:space="preserve">No cross-department visibility. </w:t>
      </w:r>
      <w:r>
        <w:t xml:space="preserve">The Physics department has no way of knowing that Electronics’ UTM is three months overdue for calibration.</w:t>
      </w:r>
    </w:p>
    <w:p>
      <w:pPr>
        <w:pStyle w:val="ListParagraph"/>
        <w:numPr>
          <w:ilvl w:val="0"/>
          <w:numId w:val="2"/>
        </w:numPr>
        <w:spacing w:after="100" w:line="276"/>
      </w:pPr>
      <w:r>
        <w:rPr>
          <w:b/>
          <w:bCs/>
        </w:rPr>
        <w:t xml:space="preserve">No automated reminders. </w:t>
      </w:r>
      <w:r>
        <w:t xml:space="preserve">Calibration due dates are missed until an audit, or until faulty experimental data results from an out-of-calibration instrument.</w:t>
      </w:r>
    </w:p>
    <w:p>
      <w:pPr>
        <w:pStyle w:val="ListParagraph"/>
        <w:numPr>
          <w:ilvl w:val="0"/>
          <w:numId w:val="2"/>
        </w:numPr>
        <w:spacing w:after="100" w:line="276"/>
      </w:pPr>
      <w:r>
        <w:rPr>
          <w:b/>
          <w:bCs/>
        </w:rPr>
        <w:t xml:space="preserve">No reliable audit trail. </w:t>
      </w:r>
      <w:r>
        <w:t xml:space="preserve">A printed spreadsheet with manual entries does not hold up well during accreditation visits, which increasingly expect verifiable, tamper-evident records.</w:t>
      </w:r>
    </w:p>
    <w:p>
      <w:pPr>
        <w:pStyle w:val="ListParagraph"/>
        <w:numPr>
          <w:ilvl w:val="0"/>
          <w:numId w:val="2"/>
        </w:numPr>
        <w:spacing w:after="100" w:line="276"/>
      </w:pPr>
      <w:r>
        <w:rPr>
          <w:b/>
          <w:bCs/>
        </w:rPr>
        <w:t xml:space="preserve">Wasted staff time. </w:t>
      </w:r>
      <w:r>
        <w:t xml:space="preserve">Lab in-charges and department heads spend hours manually cross-checking paper trails across departments before every audit cycle.</w:t>
      </w:r>
    </w:p>
    <w:p>
      <w:pPr>
        <w:pStyle w:val="ListParagraph"/>
        <w:numPr>
          <w:ilvl w:val="0"/>
          <w:numId w:val="2"/>
        </w:numPr>
        <w:spacing w:after="100" w:line="276"/>
      </w:pPr>
      <w:r>
        <w:rPr>
          <w:b/>
          <w:bCs/>
        </w:rPr>
        <w:t xml:space="preserve">No usage or access accountability. </w:t>
      </w:r>
      <w:r>
        <w:t xml:space="preserve">Manual tracking does not capture who accesses the labs or how often specific equipment is used. Without usage logs, institutions cannot identify whether an instrument is degrading faster than expected due to heavy use, cannot trace faulty data or equipment damage to a specific user, and cannot adopt usage-based calibration, for example calibrating a machine after 500 hours of run-time rather than strictly every 12 months.</w:t>
      </w:r>
    </w:p>
    <w:p>
      <w:pPr>
        <w:spacing w:after="240" w:line="276"/>
      </w:pPr>
      <w:r>
        <w:t xml:space="preserve">The cumulative result is overdue calibrations, compliance risk during NBA/NAAC audits, unmonitored asset wear, and avoidable administrative overhead. This is a problem that is operational today and becomes a significant institutional risk at accreditation time.</w:t>
      </w:r>
    </w:p>
    <w:p>
      <w:pPr>
        <w:pStyle w:val="Heading1"/>
        <w:spacing w:after="160" w:before="320"/>
      </w:pPr>
      <w:r>
        <w:rPr>
          <w:b/>
          <w:bCs/>
        </w:rPr>
        <w:t xml:space="preserve">2. Gap Analysis</w:t>
      </w:r>
    </w:p>
    <w:p>
      <w:pPr>
        <w:spacing w:after="160" w:line="276"/>
      </w:pPr>
      <w:r>
        <w:t xml:space="preserve">Existing calibration management solutions sit at two extremes: fully manual tracking with no automation, or enterprise platforms built for a much larger scale of operation. Neither serves a typical college department well, and this gap is structural rather than incidental, driven by four factors.</w:t>
      </w:r>
    </w:p>
    <w:p>
      <w:pPr>
        <w:pStyle w:val="ListParagraph"/>
        <w:numPr>
          <w:ilvl w:val="0"/>
          <w:numId w:val="2"/>
        </w:numPr>
        <w:spacing w:after="100" w:line="276"/>
      </w:pPr>
      <w:r>
        <w:rPr>
          <w:b/>
          <w:bCs/>
        </w:rPr>
        <w:t xml:space="preserve">Market fragmentation. </w:t>
      </w:r>
      <w:r>
        <w:t xml:space="preserve">No two colleges share the same instrument mix, department structure, or naming conventions, so the addressable market for a generic product is effectively a single institution rather than an industry. This is a large part of why no vendor has built a standard SaaS product for this space.</w:t>
      </w:r>
    </w:p>
    <w:p>
      <w:pPr>
        <w:pStyle w:val="ListParagraph"/>
        <w:numPr>
          <w:ilvl w:val="0"/>
          <w:numId w:val="2"/>
        </w:numPr>
        <w:spacing w:after="100" w:line="276"/>
      </w:pPr>
      <w:r>
        <w:rPr>
          <w:b/>
          <w:bCs/>
        </w:rPr>
        <w:t xml:space="preserve">Cross-department access control. </w:t>
      </w:r>
      <w:r>
        <w:t xml:space="preserve">A workable system must guarantee, at the architecture level, that a lab in-charge in Electronics cannot read or modify Mechanical’s records, while department heads have read-only visibility across departments and admins retain full control. This requires an IAM-based design that generic asset-tracking tools are not built around.</w:t>
      </w:r>
    </w:p>
    <w:p>
      <w:pPr>
        <w:pStyle w:val="ListParagraph"/>
        <w:numPr>
          <w:ilvl w:val="0"/>
          <w:numId w:val="2"/>
        </w:numPr>
        <w:spacing w:after="100" w:line="276"/>
      </w:pPr>
      <w:r>
        <w:rPr>
          <w:b/>
          <w:bCs/>
        </w:rPr>
        <w:t xml:space="preserve">Scale mismatch with enterprise tools. </w:t>
      </w:r>
      <w:r>
        <w:t xml:space="preserve">Platforms such as Beamex CMX or Fluke are built for regulated industrial environments tracking thousands of assets, with licensing and deployment costs to match. That is disproportionate for a college department with roughly 40 instruments.</w:t>
      </w:r>
    </w:p>
    <w:p>
      <w:pPr>
        <w:pStyle w:val="ListParagraph"/>
        <w:numPr>
          <w:ilvl w:val="0"/>
          <w:numId w:val="2"/>
        </w:numPr>
        <w:spacing w:after="100" w:line="276"/>
      </w:pPr>
      <w:r>
        <w:rPr>
          <w:b/>
          <w:bCs/>
        </w:rPr>
        <w:t xml:space="preserve">Disconnect between physical security and equipment health. </w:t>
      </w:r>
      <w:r>
        <w:t xml:space="preserve">Campus access control systems for doors do not integrate with lab asset management, so there is no way to correlate lab entry, via RFID or ID swipes, with equipment operating hours or calibration status.</w:t>
      </w:r>
    </w:p>
    <w:p>
      <w:pPr>
        <w:spacing w:after="160" w:line="276"/>
      </w:pPr>
      <w:r>
        <w:t xml:space="preserve">A spreadsheet or shared calendar reminder does not close this gap. It has no concept of department-scoped roles, produces no defensible audit trail for accreditation review, and does not enforce access boundaries, since anyone with edit access can alter another department’s records.</w:t>
      </w:r>
    </w:p>
    <w:p>
      <w:pPr>
        <w:spacing w:after="240" w:line="276"/>
      </w:pPr>
      <w:r>
        <w:t xml:space="preserve">Established platforms such as Beamex and Fluke address a related problem, but at industrial scale and cost that no college is likely to adopt for this purpose. Storing an instrument’s due date is a trivial task; the novelty in this project is enforcing department-level IAM access alongside integrated physical IoT access logs.</w:t>
      </w:r>
    </w:p>
    <w:p>
      <w:pPr>
        <w:pStyle w:val="Heading1"/>
        <w:spacing w:after="160" w:before="320"/>
      </w:pPr>
      <w:r>
        <w:rPr>
          <w:b/>
          <w:bCs/>
        </w:rPr>
        <w:t xml:space="preserve">3. Importance of AWS Activities with Respect to the Problem Statement</w:t>
      </w:r>
    </w:p>
    <w:p>
      <w:pPr>
        <w:spacing w:after="160" w:line="276"/>
      </w:pPr>
      <w:r>
        <w:t xml:space="preserve">Each AWS service used in this project addresses one of the failure modes identified in the problem statement.</w:t>
      </w:r>
    </w:p>
    <w:p>
      <w:pPr>
        <w:pStyle w:val="ListParagraph"/>
        <w:numPr>
          <w:ilvl w:val="0"/>
          <w:numId w:val="2"/>
        </w:numPr>
        <w:spacing w:after="100" w:line="276"/>
      </w:pPr>
      <w:r>
        <w:rPr>
          <w:b/>
          <w:bCs/>
        </w:rPr>
        <w:t xml:space="preserve">IAM roles and policy conditions: </w:t>
      </w:r>
      <w:r>
        <w:t xml:space="preserve">directly solve the cross-department visibility and access control gap, ensuring a lab in-charge in Electronics cannot see or alter Mechanical’s records.</w:t>
      </w:r>
    </w:p>
    <w:p>
      <w:pPr>
        <w:pStyle w:val="ListParagraph"/>
        <w:numPr>
          <w:ilvl w:val="0"/>
          <w:numId w:val="2"/>
        </w:numPr>
        <w:spacing w:after="100" w:line="276"/>
      </w:pPr>
      <w:r>
        <w:rPr>
          <w:b/>
          <w:bCs/>
        </w:rPr>
        <w:t xml:space="preserve">Amazon RDS: </w:t>
      </w:r>
      <w:r>
        <w:t xml:space="preserve">replaces the scattered per-lab spreadsheet with a single structured source of truth for instrument records, department ownership, and calibration schedules.</w:t>
      </w:r>
    </w:p>
    <w:p>
      <w:pPr>
        <w:pStyle w:val="ListParagraph"/>
        <w:numPr>
          <w:ilvl w:val="0"/>
          <w:numId w:val="2"/>
        </w:numPr>
        <w:spacing w:after="100" w:line="276"/>
      </w:pPr>
      <w:r>
        <w:rPr>
          <w:b/>
          <w:bCs/>
        </w:rPr>
        <w:t xml:space="preserve">AWS Lambda: </w:t>
      </w:r>
      <w:r>
        <w:t xml:space="preserve">provides the automated logic that manual tracking lacks, computing each instrument’s calibration due date against its schedule and flagging overdue equipment for the dashboard.</w:t>
      </w:r>
    </w:p>
    <w:p>
      <w:pPr>
        <w:pStyle w:val="ListParagraph"/>
        <w:numPr>
          <w:ilvl w:val="0"/>
          <w:numId w:val="2"/>
        </w:numPr>
        <w:spacing w:after="100" w:line="276"/>
      </w:pPr>
      <w:r>
        <w:rPr>
          <w:b/>
          <w:bCs/>
        </w:rPr>
        <w:t xml:space="preserve">Amazon S3: </w:t>
      </w:r>
      <w:r>
        <w:t xml:space="preserve">gives calibration certificates a durable, low-cost, audit-ready store, addressing retention requirements for accreditation.</w:t>
      </w:r>
    </w:p>
    <w:p>
      <w:pPr>
        <w:spacing w:after="240" w:line="276"/>
      </w:pPr>
      <w:r>
        <w:t xml:space="preserve">Together, these four services do more than replicate the spreadsheet’s function in the cloud: IAM solves the cross-department visibility problem, RDS replaces the scattered spreadsheet with a single structured source of truth, Lambda automates the due-date logic the reminder cycle depends on, and S3 gives calibration certificates a durable, audit-ready home.</w:t>
      </w:r>
    </w:p>
    <w:p>
      <w:pPr>
        <w:pStyle w:val="Heading1"/>
        <w:spacing w:after="160" w:before="320"/>
      </w:pPr>
      <w:r>
        <w:rPr>
          <w:b/>
          <w:bCs/>
        </w:rPr>
        <w:t xml:space="preserve">4. Related Work</w:t>
      </w:r>
    </w:p>
    <w:p>
      <w:pPr>
        <w:spacing w:after="160" w:line="276"/>
      </w:pPr>
      <w:r>
        <w:t xml:space="preserve">Existing approaches fall into three categories: enterprise calibration management platforms, generic asset-tracking SaaS, and campus administrative systems. None target the specific scale, access-control, and usage-monitoring needs of a college lab environment.</w:t>
      </w:r>
    </w:p>
    <w:p>
      <w:pPr>
        <w:pStyle w:val="ListParagraph"/>
        <w:numPr>
          <w:ilvl w:val="0"/>
          <w:numId w:val="2"/>
        </w:numPr>
        <w:spacing w:after="100" w:line="276"/>
      </w:pPr>
      <w:r>
        <w:rPr>
          <w:b/>
          <w:bCs/>
        </w:rPr>
        <w:t xml:space="preserve">Beamex CMX / Fluke: </w:t>
      </w:r>
      <w:r>
        <w:t xml:space="preserve">priced and scoped for thousands of assets, far beyond a college department’s scale of roughly 40 instruments and its budget.</w:t>
      </w:r>
    </w:p>
    <w:p>
      <w:pPr>
        <w:pStyle w:val="ListParagraph"/>
        <w:numPr>
          <w:ilvl w:val="0"/>
          <w:numId w:val="2"/>
        </w:numPr>
        <w:spacing w:after="100" w:line="276"/>
      </w:pPr>
      <w:r>
        <w:rPr>
          <w:b/>
          <w:bCs/>
        </w:rPr>
        <w:t xml:space="preserve">Asset Panda, EZOfficeInventory: </w:t>
      </w:r>
      <w:r>
        <w:t xml:space="preserve">general-purpose asset tracking across industries, with no built-in concept of calibration due dates, accreditation audit trails, or department-scoped IAM.</w:t>
      </w:r>
    </w:p>
    <w:p>
      <w:pPr>
        <w:pStyle w:val="ListParagraph"/>
        <w:numPr>
          <w:ilvl w:val="0"/>
          <w:numId w:val="2"/>
        </w:numPr>
        <w:spacing w:after="100" w:line="276"/>
      </w:pPr>
      <w:r>
        <w:rPr>
          <w:b/>
          <w:bCs/>
        </w:rPr>
        <w:t xml:space="preserve">Spreadsheet or paper register: </w:t>
      </w:r>
      <w:r>
        <w:t xml:space="preserve">per-lab, manual tracking, with no automated reminders, no cross-department visibility, no usage logs, and a weak audit trail.</w:t>
      </w:r>
    </w:p>
    <w:p>
      <w:pPr>
        <w:pStyle w:val="ListParagraph"/>
        <w:numPr>
          <w:ilvl w:val="0"/>
          <w:numId w:val="2"/>
        </w:numPr>
        <w:spacing w:after="100" w:line="276"/>
      </w:pPr>
      <w:r>
        <w:rPr>
          <w:b/>
          <w:bCs/>
        </w:rPr>
        <w:t xml:space="preserve">College ERP / campus management systems: </w:t>
      </w:r>
      <w:r>
        <w:t xml:space="preserve">cover admissions, fees, and attendance. Calibration tracking is rarely a module, and where present it lacks fine-grained IAM. Some include physical access control systems for doors, but these remain siloed and do not track the operating hours of individual bench instruments.</w:t>
      </w:r>
    </w:p>
    <w:p>
      <w:pPr>
        <w:spacing w:after="160" w:line="276"/>
      </w:pPr>
      <w:r>
        <w:t xml:space="preserve">This review of related work reinforces the conclusion of the gap analysis: the closest existing solutions are either over-scoped and over-priced, under-featured for compliance and access control, or entirely manual. This project is positioned in the space those alternatives leave open, offering a unified view of both asset compliance and physical equipment utilization.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2026-08-21T19:17:26.825Z</dcterms:created>
  <dcterms:modified xsi:type="dcterms:W3CDTF">2026-08-21T19:17:26.837Z</dcterms:modified>
</cp:coreProperties>
</file>

<file path=docProps/custom.xml><?xml version="1.0" encoding="utf-8"?>
<Properties xmlns="http://schemas.openxmlformats.org/officeDocument/2006/custom-properties" xmlns:vt="http://schemas.openxmlformats.org/officeDocument/2006/docPropsVTypes"/>
</file>