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27637" w14:textId="77777777" w:rsidR="00503E19" w:rsidRDefault="00000000">
      <w:pPr>
        <w:spacing w:after="0" w:line="229" w:lineRule="auto"/>
        <w:ind w:firstLine="0"/>
        <w:jc w:val="center"/>
      </w:pPr>
      <w:r>
        <w:rPr>
          <w:sz w:val="48"/>
        </w:rPr>
        <w:t>Enhancing AI Interpretability with Prototypes in Explainable AI Systems</w:t>
      </w:r>
    </w:p>
    <w:p w14:paraId="042DDB00" w14:textId="77777777" w:rsidR="00503E19" w:rsidRDefault="00503E19">
      <w:pPr>
        <w:sectPr w:rsidR="00503E19">
          <w:pgSz w:w="12240" w:h="15840"/>
          <w:pgMar w:top="1100" w:right="1358" w:bottom="1468" w:left="1358" w:header="720" w:footer="720" w:gutter="0"/>
          <w:cols w:space="720"/>
        </w:sectPr>
      </w:pPr>
    </w:p>
    <w:p w14:paraId="6E373942" w14:textId="77777777" w:rsidR="00503E19" w:rsidRDefault="00000000">
      <w:pPr>
        <w:spacing w:after="12" w:line="218" w:lineRule="auto"/>
        <w:ind w:left="-15" w:right="-15"/>
      </w:pPr>
      <w:r>
        <w:rPr>
          <w:i/>
          <w:sz w:val="18"/>
        </w:rPr>
        <w:t>Abstract</w:t>
      </w:r>
      <w:r>
        <w:rPr>
          <w:sz w:val="18"/>
        </w:rPr>
        <w:t xml:space="preserve">—AI has revolutionized healthcare, banking, and public safety by automating difficult tasks, pattern identification, and accurate forecasts. However, complex artificial intelligence models—especially deep learning models—must </w:t>
      </w:r>
      <w:proofErr w:type="gramStart"/>
      <w:r>
        <w:rPr>
          <w:sz w:val="18"/>
        </w:rPr>
        <w:t>be ”black</w:t>
      </w:r>
      <w:proofErr w:type="gramEnd"/>
      <w:r>
        <w:rPr>
          <w:sz w:val="18"/>
        </w:rPr>
        <w:t xml:space="preserve">-box” systems. Lack of candor hinders confidence and responsibility. Explainable artificial intelligence (XAI) ensures accurate and intelligible AI systems to handle these issues. Prototype integration may increase AI interpretability, according to this thesis. It methodically defines AI decision-making mechanisms. The report begins with a summary of climate change concerns and highlights the need for reliable estimates to guide money and policy. This paper investigates the limits of existing models and how machine learning might overcome them to make </w:t>
      </w:r>
      <w:proofErr w:type="spellStart"/>
      <w:r>
        <w:rPr>
          <w:sz w:val="18"/>
        </w:rPr>
        <w:t>shortterm</w:t>
      </w:r>
      <w:proofErr w:type="spellEnd"/>
      <w:r>
        <w:rPr>
          <w:sz w:val="18"/>
        </w:rPr>
        <w:t xml:space="preserve"> and customized forecasts. Conventional General Circulation Models (GCMs) are integrated with modern machine learning techniques to improve climate forecast accuracy and information, creating a theoretical framework. The literature review shows that deep learning can identify severe weather occurrences and improve climate model </w:t>
      </w:r>
      <w:proofErr w:type="spellStart"/>
      <w:r>
        <w:rPr>
          <w:sz w:val="18"/>
        </w:rPr>
        <w:t>subgrid</w:t>
      </w:r>
      <w:proofErr w:type="spellEnd"/>
      <w:r>
        <w:rPr>
          <w:sz w:val="18"/>
        </w:rPr>
        <w:t xml:space="preserve"> dynamics. This research aims to create a reliable climate forecast model using Convolutional Neural Networks (CNNs) for geographical data analysis and RNNs for temporal data prediction. The system implementation chapter details data collection, preprocessing, model training, and validation to develop this model. Multiple reliable sources’ worldwide temperature and CO2 emissions data is combined and preprocessed for precision and uniformity. CNNs </w:t>
      </w:r>
      <w:proofErr w:type="spellStart"/>
      <w:r>
        <w:rPr>
          <w:sz w:val="18"/>
        </w:rPr>
        <w:t>analyse</w:t>
      </w:r>
      <w:proofErr w:type="spellEnd"/>
      <w:r>
        <w:rPr>
          <w:sz w:val="18"/>
        </w:rPr>
        <w:t xml:space="preserve"> spatial patterns and RNNs record temporal sequences in the model. Iterative refining and validation improve model robustness and reliability. AI models will be more interpretable using prototypes. Prototypes demonstrate how the AI system handles inputs. They usually come from the dataset and </w:t>
      </w:r>
      <w:proofErr w:type="gramStart"/>
      <w:r>
        <w:rPr>
          <w:sz w:val="18"/>
        </w:rPr>
        <w:t>open up</w:t>
      </w:r>
      <w:proofErr w:type="gramEnd"/>
      <w:r>
        <w:rPr>
          <w:sz w:val="18"/>
        </w:rPr>
        <w:t xml:space="preserve"> decision-making. This strategy links simple examples to AI model abstract behaviors. Data management, preprocessing, model training, explanation creation, prototype integration, and prototype selection comprise system design. Models and user feedback are used to improve clarity and user satisfaction. This thesis examines the merits and cons of machine learning in climate change models. The piece emphasizes having high-quality, factual data, and trend recognition. Researchers, politicians, and stakeholders must work together to improve the model.</w:t>
      </w:r>
    </w:p>
    <w:p w14:paraId="579C83E6" w14:textId="77777777" w:rsidR="00503E19" w:rsidRDefault="00000000">
      <w:pPr>
        <w:spacing w:after="353" w:line="218" w:lineRule="auto"/>
        <w:ind w:left="-15" w:right="-15"/>
      </w:pPr>
      <w:r>
        <w:rPr>
          <w:i/>
          <w:sz w:val="18"/>
        </w:rPr>
        <w:t>Index Terms</w:t>
      </w:r>
      <w:r>
        <w:rPr>
          <w:sz w:val="18"/>
        </w:rPr>
        <w:t>—Artificial intelligence, interpretability, explainable AI, prototypes</w:t>
      </w:r>
    </w:p>
    <w:p w14:paraId="2A7CF030" w14:textId="77777777" w:rsidR="00503E19" w:rsidRDefault="00000000">
      <w:pPr>
        <w:pStyle w:val="Heading1"/>
        <w:spacing w:after="114"/>
      </w:pPr>
      <w:r>
        <w:rPr>
          <w:sz w:val="20"/>
        </w:rPr>
        <w:t>I. I</w:t>
      </w:r>
      <w:r>
        <w:t>NTRODUCTION</w:t>
      </w:r>
    </w:p>
    <w:p w14:paraId="16172EEB" w14:textId="77777777" w:rsidR="00503E19" w:rsidRDefault="00000000">
      <w:pPr>
        <w:ind w:left="-15"/>
      </w:pPr>
      <w:r>
        <w:t xml:space="preserve">The emergence of artificial intelligence (AI) has spurred a transforming revolution in many different fields, changing decision-making procedures and increasing operational efficiency to formerly unheard-of degrees. In sectors including healthcare, banking, transportation, and public safety—where the capacity to precisely and effectively analyze vast datasets can result in major insights and innovations—this technological development is especially clear. For instance, AI-driven models are used in healthcare to sort through medical images and remarkably precisely identify diseases at early stages, hence greatly enhancing patient outcomes. In the finance industry, too, artificial intelligence systems are used to forecast markets and identify fraudulent behavior, hence </w:t>
      </w:r>
      <w:r>
        <w:t xml:space="preserve">improving security and economic forecasts. Notwithstanding these developments, the growing inclusion of artificial intelligence into important decision-making responsibilities has resulted in the creation of complex, yet opaque, systems sometimes referred to </w:t>
      </w:r>
      <w:proofErr w:type="gramStart"/>
      <w:r>
        <w:t>as ”black</w:t>
      </w:r>
      <w:proofErr w:type="gramEnd"/>
      <w:r>
        <w:t xml:space="preserve">-box” models. Often distinguished by their complex algorithms and lack of openness, these models provide significant difficulties for reliability and trust. These artificial intelligence systems’ opacity hides their </w:t>
      </w:r>
      <w:proofErr w:type="spellStart"/>
      <w:r>
        <w:t>decisionmaking</w:t>
      </w:r>
      <w:proofErr w:type="spellEnd"/>
      <w:r>
        <w:t xml:space="preserve"> processes, not only to ordinary users but also to their developers, therefore complicating the validation and verification of the produced results. This opacity causes a clear problem. On one hand, artificial intelligence systems automate jobs in ways that can much beyond human capacity and provide the possibility of superhuman accuracy and efficiency. On the other side, the lack of openness can lead to a major trust gap, which makes it challenging for consumers and stakeholders to grasp and thereby influences trust, the judgments taken by artificial intelligence. When the stakes are high, like in clinical diagnosis, financial predictions, and autonomous car navigation, this difficulty is especially evident. Under such circumstances, the incapacity to understand AI judgments can have grave effects and maybe result in </w:t>
      </w:r>
      <w:proofErr w:type="spellStart"/>
      <w:r>
        <w:t>lifealtering</w:t>
      </w:r>
      <w:proofErr w:type="spellEnd"/>
      <w:r>
        <w:t xml:space="preserve"> outcomes.</w:t>
      </w:r>
    </w:p>
    <w:p w14:paraId="126F99CF" w14:textId="77777777" w:rsidR="00503E19" w:rsidRDefault="00000000">
      <w:pPr>
        <w:ind w:left="-15"/>
      </w:pPr>
      <w:r>
        <w:t xml:space="preserve">Now enter Explainable AI (XAI), a developing field meant to close the knowledge gap between artificial intelligence capacities and human comprehension. XAI seeks to make AI systems understandable and transparent for human consumers in addition to accurate. XAI’s main objective is to clarify the internal mechanics of AI models, thereby providing transparent, understandable, and easily available justifications for how decisions are arrived at. Not only is this project a technical need but also a legal and ethical one since it guarantees that AI-enhanced decision-making complies with legal and social conventions as well as regulatory criteria. The realization that XAI must not just be functional but also understood and trusted by people it seeks to serve if it is to be completely incorporated into society, particularly in industries with major ramifications like healthcare and banking. For example, a doctor using an artificial intelligence system to diagnose diseases or a bank utilizing AI for credit risk assessment </w:t>
      </w:r>
      <w:proofErr w:type="gramStart"/>
      <w:r>
        <w:t>have to</w:t>
      </w:r>
      <w:proofErr w:type="gramEnd"/>
      <w:r>
        <w:t xml:space="preserve"> be able to understand and rationalize the system’s suggestions to properly use the technology and defend these judgments to the end users or clients. Furthermore, the evolution of XAI tackles the issues raised by artificial intelligence systems that could produce prejudices and unfair results. Transparency in AI decision-making processes helps stakeholders to spot and minimize any natural </w:t>
      </w:r>
      <w:r>
        <w:lastRenderedPageBreak/>
        <w:t>prejudices in the algorithms, hence supporting responsibility and fairness. Both ethical application of</w:t>
      </w:r>
    </w:p>
    <w:p w14:paraId="5E6C42A9" w14:textId="77777777" w:rsidR="00503E19" w:rsidRDefault="00000000">
      <w:pPr>
        <w:ind w:left="-15" w:firstLine="0"/>
      </w:pPr>
      <w:r>
        <w:t>AI technologies and user confidence depend on this openness.</w:t>
      </w:r>
    </w:p>
    <w:p w14:paraId="7A462A87" w14:textId="77777777" w:rsidR="00503E19" w:rsidRDefault="00000000">
      <w:pPr>
        <w:spacing w:after="169"/>
        <w:ind w:left="-15"/>
      </w:pPr>
      <w:r>
        <w:t xml:space="preserve">XAI seeks several different goals. </w:t>
      </w:r>
      <w:proofErr w:type="gramStart"/>
      <w:r>
        <w:t>First of all</w:t>
      </w:r>
      <w:proofErr w:type="gramEnd"/>
      <w:r>
        <w:t>, XAI aims to create approaches fit for the demands of different user groups that may offer significant and contextually relevant justifications of AI judgments. For instance, although a medical practitioner could want a thorough analysis of the diagnostic criteria applied by an artificial intelligence, a financial analyst might need knowledge of the economic data affecting the forecasts of a model. Second, XAI emphasizes on combining prototypes—representative samples chosen from the dataset showing how artificial intelligence systems analyze inputs and make judgments. These prototypes enable consumers to see and grasp the operations of artificial intelligence, hence demystifying its processes. Prototypes help to make difficult AI operations more understandable by showing consumers real-world examples of the AI’s decision-making in action, therefore building more confidence and dependability among them.</w:t>
      </w:r>
    </w:p>
    <w:p w14:paraId="70DA74C7" w14:textId="77777777" w:rsidR="00503E19" w:rsidRDefault="00000000">
      <w:pPr>
        <w:pStyle w:val="Heading1"/>
        <w:spacing w:after="62" w:line="259" w:lineRule="auto"/>
        <w:ind w:left="159" w:firstLine="0"/>
        <w:jc w:val="left"/>
      </w:pPr>
      <w:r>
        <w:rPr>
          <w:sz w:val="20"/>
        </w:rPr>
        <w:t>II. T</w:t>
      </w:r>
      <w:r>
        <w:t xml:space="preserve">HEORETICAL </w:t>
      </w:r>
      <w:r>
        <w:rPr>
          <w:sz w:val="20"/>
        </w:rPr>
        <w:t>B</w:t>
      </w:r>
      <w:r>
        <w:t xml:space="preserve">ACKGROUND AND </w:t>
      </w:r>
      <w:r>
        <w:rPr>
          <w:sz w:val="20"/>
        </w:rPr>
        <w:t>R</w:t>
      </w:r>
      <w:r>
        <w:t xml:space="preserve">ELATED </w:t>
      </w:r>
      <w:r>
        <w:rPr>
          <w:sz w:val="20"/>
        </w:rPr>
        <w:t>W</w:t>
      </w:r>
      <w:r>
        <w:t>ORK</w:t>
      </w:r>
    </w:p>
    <w:p w14:paraId="07BEDA2D" w14:textId="77777777" w:rsidR="00503E19" w:rsidRDefault="00000000">
      <w:pPr>
        <w:ind w:left="-15"/>
      </w:pPr>
      <w:r>
        <w:t xml:space="preserve">Explainable artificial intelligence (XAI) is especially important in industries like healthcare, finance, and autonomous driving where decisions have significant effects to increase the openness and comprehensibility of artificial intelligence systems. The demand of technologies that not only run with tremendous efficiency but also make sense and dependability top priority as artificial intelligence keeps infiltrating major sectors. XAI seeks to narrow the knowledge gap separating the pragmatic information required by consumers reliant on artificial intelligence systems from the complex algorithms operating artificial intelligence systems. Depending on their degree of interpretability, global and local interpretability define two primary groups of explainable artificial intelligence techniques. Global interpretability methods help to clarify the overall behavior of the AI models over the complete dataset, therefore allowing stakeholders to understand how various features influence the forecasts generally. This thorough overview clarifies the general structure of decision-making in the model and the weight-of- various inputs over all decisions. Conversely, local interpretability stresses on separating specific actions and provides comprehensive explanations of how specific traits affected specific outcomes. This kind would particularly help end users who </w:t>
      </w:r>
      <w:proofErr w:type="gramStart"/>
      <w:r>
        <w:t>have to</w:t>
      </w:r>
      <w:proofErr w:type="gramEnd"/>
      <w:r>
        <w:t xml:space="preserve"> understand and defend individual forecasts in contexts such as patient diagnosis or loan approval. Within these broad categories, interpretability methods evolve into model-specific and model-agnostic solutions. Designed to match specific types of artificial intelligence models, </w:t>
      </w:r>
      <w:proofErr w:type="spellStart"/>
      <w:r>
        <w:t>modelspecific</w:t>
      </w:r>
      <w:proofErr w:type="spellEnd"/>
      <w:r>
        <w:t xml:space="preserve"> techniques use their natural qualities to elucidate their decision-making process. For example, usually applied in data mining and machine </w:t>
      </w:r>
      <w:r>
        <w:t>learning, decision trees offer an unambiguous, pictorial representation of decision-making.</w:t>
      </w:r>
    </w:p>
    <w:p w14:paraId="3FC4A8C5" w14:textId="77777777" w:rsidR="00503E19" w:rsidRDefault="00000000">
      <w:pPr>
        <w:ind w:left="-15" w:firstLine="0"/>
      </w:pPr>
      <w:r>
        <w:t>Every node in a decision tree represents a choice depending on specific criteria; each branch displays the outcome and finishes in a leaf node designating the last choice or forecast. These naturally understandable trees provide a simple approach to track the decision-making process. Similarly, rule-based systems produce decisions based on sets of logical rules, which are basically transparent and understandable for consumers.</w:t>
      </w:r>
    </w:p>
    <w:p w14:paraId="768B5EC9" w14:textId="77777777" w:rsidR="00503E19" w:rsidRDefault="00000000">
      <w:pPr>
        <w:ind w:left="-15"/>
      </w:pPr>
      <w:r>
        <w:t xml:space="preserve">On the other hand, model-agnostic methods function on any model type by analyzing the input-output behavior of any model type without considering its internal dynamics. One well-known example of this approach is Local Interpretable Model-agnostic Explanations (LIME), which helps to reduce the complex decision-making process of the model into more understandable models around certain predictions. By adjusting the input and tracking output changes, LIME discovers the most important factors that help to explain the reasoning of the prediction in a manner the user would grasp. Visualization methods are also </w:t>
      </w:r>
      <w:proofErr w:type="gramStart"/>
      <w:r>
        <w:t>fairly crucial</w:t>
      </w:r>
      <w:proofErr w:type="gramEnd"/>
      <w:r>
        <w:t xml:space="preserve"> in XAI, generally applied in tandem with other interpretability methods to enhance the clarity of the explanations. Gradient-weighted Class Activation Mapping (Grad-CAM) and other visual explanations highlight in input data—such places in an image—that significantly influence the convolutional neural network predictions. Partially dependent graphs can also help one observe the link between a given attribute and the outcome by keeping all other factors constant. This helps to understand the direct influence of a feature on the prediction and increases the openness of the operation of the model. XAI depends on the use of prototypes—specific instances from the dataset that explain how the AI model examines numerous inputs to create conclusions. These prototypes help to improve the </w:t>
      </w:r>
      <w:proofErr w:type="spellStart"/>
      <w:r>
        <w:t>graspability</w:t>
      </w:r>
      <w:proofErr w:type="spellEnd"/>
      <w:r>
        <w:t xml:space="preserve"> of the operations of the artificial intelligence by offering specific situations of the decision-making of the model. Usually, the choice of prototypes is human selection by domain experts to assure that these examples are relevant and illuminative or advanced clustering methods to discover representative sample.</w:t>
      </w:r>
    </w:p>
    <w:p w14:paraId="5BC04153" w14:textId="77777777" w:rsidR="00503E19" w:rsidRDefault="00000000">
      <w:pPr>
        <w:spacing w:after="150"/>
        <w:ind w:left="-15"/>
      </w:pPr>
      <w:r>
        <w:t xml:space="preserve">Extensive field-based research in XAI has been conducted with a view toward improving interpretability and handling the natural trade-offs between transparency and model performance. Research such as those by Ali et al. (2023) provide a thorough analysis of many XAI techniques, including tools like LIME and SHAP, which aim to increase </w:t>
      </w:r>
      <w:proofErr w:type="spellStart"/>
      <w:r>
        <w:t>localised</w:t>
      </w:r>
      <w:proofErr w:type="spellEnd"/>
      <w:r>
        <w:t xml:space="preserve"> interpretability and transparency by means of which Gohel et al. (2021) stress the need of uniform standards to evaluate and correctly mix explainability inside artificial intelligence systems. Furthermore, the research of Clement et al. (2023) reveals how explainability is incorporated all through the software development life, so enhancing the XAI deployment efficiency. Looking ahead, the integration of advanced </w:t>
      </w:r>
      <w:r>
        <w:lastRenderedPageBreak/>
        <w:t>cognitive and emotional models—as advocated by academics like Zhou and Jiang (2024)—has the potential to make AI systems not only more relevant but also more understandably intelligible by closely emulating human cognitive processes. This will significantly raise the naturalness and attractiveness of artificial intelligence systems, so helping individuals to locate their decisions more reasonable and acceptable.</w:t>
      </w:r>
    </w:p>
    <w:p w14:paraId="7996F42D" w14:textId="77777777" w:rsidR="00503E19" w:rsidRDefault="00000000">
      <w:pPr>
        <w:pStyle w:val="Heading1"/>
        <w:spacing w:after="89"/>
      </w:pPr>
      <w:r>
        <w:rPr>
          <w:sz w:val="20"/>
        </w:rPr>
        <w:t>III. S</w:t>
      </w:r>
      <w:r>
        <w:t xml:space="preserve">YSTEM </w:t>
      </w:r>
      <w:r>
        <w:rPr>
          <w:sz w:val="20"/>
        </w:rPr>
        <w:t>I</w:t>
      </w:r>
      <w:r>
        <w:t>MPLEMENTATION</w:t>
      </w:r>
    </w:p>
    <w:p w14:paraId="2F22592F" w14:textId="77777777" w:rsidR="00503E19" w:rsidRDefault="00000000">
      <w:pPr>
        <w:spacing w:after="152"/>
        <w:ind w:left="-15"/>
      </w:pPr>
      <w:r>
        <w:t xml:space="preserve">Under the heading </w:t>
      </w:r>
      <w:proofErr w:type="gramStart"/>
      <w:r>
        <w:t>of ”Enhanced</w:t>
      </w:r>
      <w:proofErr w:type="gramEnd"/>
      <w:r>
        <w:t xml:space="preserve"> AI Interpretability with Prototypes in Explainable AI Systems,” several elements—data management, model training, prototype selection, and feedback systems—are combined into a coherent system architecture. This part explores the specific procedures and approaches used during the project to reach its goal of increasing the interpretability of artificial intelligence models by means of prototypes. Three primary subsections define the system implementation: Data Handling and Model Training; Prototype Integration and Explanation Generation; Feedback and Refining.</w:t>
      </w:r>
    </w:p>
    <w:p w14:paraId="53C43D0F" w14:textId="77777777" w:rsidR="00503E19" w:rsidRDefault="00000000">
      <w:pPr>
        <w:pStyle w:val="Heading2"/>
        <w:ind w:left="-5"/>
      </w:pPr>
      <w:r>
        <w:t>A. Data Handling and Model Training</w:t>
      </w:r>
    </w:p>
    <w:p w14:paraId="2A675240" w14:textId="77777777" w:rsidR="00503E19" w:rsidRDefault="00000000">
      <w:pPr>
        <w:spacing w:after="153"/>
        <w:ind w:left="-15"/>
      </w:pPr>
      <w:r>
        <w:t xml:space="preserve">The basis of every artificial intelligence system is the data it depends on, so preparation and data management come first in the application process. Raw data gathered from various sources occasionally contains noise, mistakes, and missing information likely to jeopardize the model’s performance. To address these issues, the data is first extensively cleaned. This means standardizing the data to ensure consistency and so streamlines artificial intelligence model processing. Handling missing values is another crucial task where techniques like imputation fill in gaps thereby ensuring that the dataset remains strong and entire. Originally non-numeric, categorical data is converted into numerical values so the artificial intelligence program can effectively manage them. This preparation is quite important since it directly influences the quality of the training for the model, thereby defining its capacity to generate interpretable outputs and accurate predictions. Training models follows data preparation exactly. This involves selecting a fitting model architecture based on the specific needs and dataset complexity. Whether it is a neural network, decision tree, or another approach, the model applied will significantly influence the way the data will be handled and interpreted. Training the model by feeding the preprocessed data and allowing it to find links and trends inside the dataset is Deep learning models such TensorFlow or </w:t>
      </w:r>
      <w:proofErr w:type="spellStart"/>
      <w:r>
        <w:t>PyTorch</w:t>
      </w:r>
      <w:proofErr w:type="spellEnd"/>
      <w:r>
        <w:t xml:space="preserve"> of tremendous capacity to manage complex calculations and large datasets are often used in this phase. The training process is iterative since the model is adjusted over multiple cycles of learning until it reaches an appropriate degree of accuracy and interpretability. Examining different models with an eye toward both accuracy and the ability to defend their decisions will help one choose which one best fits.</w:t>
      </w:r>
    </w:p>
    <w:p w14:paraId="58CB2702" w14:textId="77777777" w:rsidR="00503E19" w:rsidRDefault="00000000">
      <w:pPr>
        <w:pStyle w:val="Heading2"/>
        <w:ind w:left="-5"/>
      </w:pPr>
      <w:r>
        <w:t>B. Prototype Integration and Explanation Generation</w:t>
      </w:r>
    </w:p>
    <w:p w14:paraId="04A455B1" w14:textId="77777777" w:rsidR="00503E19" w:rsidRDefault="00000000">
      <w:pPr>
        <w:ind w:left="-15"/>
      </w:pPr>
      <w:r>
        <w:t>The essence of this effort is to improve AI interpretability by way of prototype integration into the decision-making process. The choice of the prototype selection system marks the first stage of this integration. Prototypes are specific cases from the dataset that serve as representative cases, therefore supporting the logical foundation of the model. These prototypes can be specifically selected relying on domain expertise or they can be discovered by means of clustering techniques whereby related data points are organized. Since they offer clear knowledge of how the model manages many types of inputs, the aim is to choose prototypes that not only reflect but also teach. Once selected, a prototype integration framework enables these prototypes to be added into the artificial intelligence model. This means designing the model to incorporate these prototypes into the decision-making process. The model is better when more layers or modules using the prototypes explain their forecasts. When the model projects, for instance, it may highlight the elements guiding its choice by contrasting the input data with the prototypes. This gives consumers specific cases they can relate to and helps to open the decision-making process of the model.</w:t>
      </w:r>
    </w:p>
    <w:p w14:paraId="2F78123C" w14:textId="77777777" w:rsidR="00503E19" w:rsidRDefault="00000000">
      <w:pPr>
        <w:spacing w:after="150"/>
        <w:ind w:left="-15"/>
      </w:pPr>
      <w:r>
        <w:t xml:space="preserve">The component of explanation producing marks the finishing touch of this integration. Prototypes have been </w:t>
      </w:r>
      <w:proofErr w:type="gramStart"/>
      <w:r>
        <w:t>incorporated,</w:t>
      </w:r>
      <w:proofErr w:type="gramEnd"/>
      <w:r>
        <w:t xml:space="preserve"> hence the system must obviously show the user the model’s decision-making process. Here we apply several methods of explanation, including textual descriptions, visual heatmaps, or other types of visual aid. Grad-CAM, or </w:t>
      </w:r>
      <w:proofErr w:type="spellStart"/>
      <w:r>
        <w:t>gradientweighted</w:t>
      </w:r>
      <w:proofErr w:type="spellEnd"/>
      <w:r>
        <w:t xml:space="preserve"> class activation mapping, is one such approach particularly useful for displaying the aspects of the input data most influencing the conclusion of the model. By means of linking these elements with the selected prototypes, the system will be able to provide consumers with straightforward, concise explanations that help them to understand the justification for every decision. This is especially important in industries like healthcare or finance, where consumers </w:t>
      </w:r>
      <w:proofErr w:type="gramStart"/>
      <w:r>
        <w:t>have to</w:t>
      </w:r>
      <w:proofErr w:type="gramEnd"/>
      <w:r>
        <w:t xml:space="preserve"> be confident that the AI’s decisions are based on reasonable thinking, trust and openness, hence these are vitally necessary.</w:t>
      </w:r>
    </w:p>
    <w:p w14:paraId="2C6064B6" w14:textId="77777777" w:rsidR="00503E19" w:rsidRDefault="00000000">
      <w:pPr>
        <w:pStyle w:val="Heading2"/>
        <w:ind w:left="-5"/>
      </w:pPr>
      <w:r>
        <w:t>C. Feedback and Refinement</w:t>
      </w:r>
    </w:p>
    <w:p w14:paraId="09045697" w14:textId="77777777" w:rsidR="00503E19" w:rsidRDefault="00000000">
      <w:pPr>
        <w:ind w:left="-15"/>
      </w:pPr>
      <w:r>
        <w:t xml:space="preserve">Using an artificial intelligence system is an ongoing process necessitating constant feedback and refinement; it does not stop with first deployment. User comments are </w:t>
      </w:r>
      <w:proofErr w:type="gramStart"/>
      <w:r>
        <w:t>really important</w:t>
      </w:r>
      <w:proofErr w:type="gramEnd"/>
      <w:r>
        <w:t xml:space="preserve"> for this iterative process. Once the system is operational, user comments on the clarity and applicability of the </w:t>
      </w:r>
      <w:proofErr w:type="spellStart"/>
      <w:r>
        <w:t>prototypebased</w:t>
      </w:r>
      <w:proofErr w:type="spellEnd"/>
      <w:r>
        <w:t xml:space="preserve"> explanations come once more. This information is gathered by means of surveys, interviews, interactive platforms allowing consumers to assess their experience and provide suggestions for advancement. After that, the comments are looked at to identify areas—in the context of prototypes, the clarity of the explanations, or the </w:t>
      </w:r>
      <w:r>
        <w:lastRenderedPageBreak/>
        <w:t>general user experience—where the system might be improved. Apart from user comments, professional evaluations assist to analyze the quality and applicability of the offered prototype explanations. Artificial intelligence and machine learning professionals review the system to ensure it meets the necessary standards for interpretability and transparency as well as for artificial intelligence and machine learning. They could also provide suggestions on how the system might be strengthened to more precisely meet industry standards and best criteria.</w:t>
      </w:r>
    </w:p>
    <w:p w14:paraId="067A8260" w14:textId="77777777" w:rsidR="00503E19" w:rsidRDefault="00000000">
      <w:pPr>
        <w:spacing w:after="172"/>
        <w:ind w:left="-15"/>
      </w:pPr>
      <w:r>
        <w:t xml:space="preserve">Feedback and improvement </w:t>
      </w:r>
      <w:proofErr w:type="gramStart"/>
      <w:r>
        <w:t>is</w:t>
      </w:r>
      <w:proofErr w:type="gramEnd"/>
      <w:r>
        <w:t xml:space="preserve"> an iterative process; the system runs many cycles of evaluation and development. This ensures that the AI model remains interpretable and useful in front of new data and application scenarios. The system’s performance is under continuous inspection; so, required adjustments are taken to maintain high degrees of accuracy and transparency. This iterative approach not only improves system performance but also enables users to grow confident since they can see that their opinions are </w:t>
      </w:r>
      <w:proofErr w:type="gramStart"/>
      <w:r>
        <w:t>valued</w:t>
      </w:r>
      <w:proofErr w:type="gramEnd"/>
      <w:r>
        <w:t xml:space="preserve"> and that the system is under active development. Throughout this process, thorough records are kept </w:t>
      </w:r>
      <w:proofErr w:type="gramStart"/>
      <w:r>
        <w:t>to track</w:t>
      </w:r>
      <w:proofErr w:type="gramEnd"/>
      <w:r>
        <w:t xml:space="preserve"> system changes and the rationale behind each decision taken. Transparency and responsibility depend on this information since it provides a clear record of the development of the system and the activities done to make it better. Since it helps fresh team members or outside auditors know the background and system modifications, it also offers a great source of knowledge for future expansion.</w:t>
      </w:r>
    </w:p>
    <w:p w14:paraId="24E85419" w14:textId="77777777" w:rsidR="00503E19" w:rsidRDefault="00000000">
      <w:pPr>
        <w:pStyle w:val="Heading1"/>
      </w:pPr>
      <w:r>
        <w:rPr>
          <w:sz w:val="20"/>
        </w:rPr>
        <w:t>IV. E</w:t>
      </w:r>
      <w:r>
        <w:t xml:space="preserve">XPERIMENTAL </w:t>
      </w:r>
      <w:r>
        <w:rPr>
          <w:sz w:val="20"/>
        </w:rPr>
        <w:t>R</w:t>
      </w:r>
      <w:r>
        <w:t xml:space="preserve">ESULTS AND </w:t>
      </w:r>
      <w:r>
        <w:rPr>
          <w:sz w:val="20"/>
        </w:rPr>
        <w:t>A</w:t>
      </w:r>
      <w:r>
        <w:t>NALYSIS</w:t>
      </w:r>
    </w:p>
    <w:p w14:paraId="7FEF17E6" w14:textId="77777777" w:rsidR="00503E19" w:rsidRDefault="00000000">
      <w:pPr>
        <w:spacing w:after="151"/>
        <w:ind w:left="-15"/>
      </w:pPr>
      <w:r>
        <w:t>The performance of the proposed hybrid CNN-RNN artificial intelligence model and the effects of integrating prototypes and visualization tools are well understood by means of the experimental results and analysis of them. Three main subsections comprise this part: Model Performance Metrics, Impact of Prototype Integration, and Visualization and Interpretability.</w:t>
      </w:r>
    </w:p>
    <w:p w14:paraId="1274C413" w14:textId="77777777" w:rsidR="00503E19" w:rsidRDefault="00000000">
      <w:pPr>
        <w:pStyle w:val="Heading2"/>
        <w:ind w:left="-5"/>
      </w:pPr>
      <w:r>
        <w:t>A. Model Performance Metrics</w:t>
      </w:r>
    </w:p>
    <w:p w14:paraId="2492C793" w14:textId="77777777" w:rsidR="00503E19" w:rsidRDefault="00000000">
      <w:pPr>
        <w:ind w:left="-15"/>
      </w:pPr>
      <w:r>
        <w:t xml:space="preserve">The performance of the proposed model was fully evaluated utilizing several significant criteria including R-squared (R²) values and Mean Squared Error (MSE), thereby evaluating its correctness and dependability. The model obtained an amazing MSE of 0.02 on the validation set, therefore showing a very high degree of prediction accuracy. Usually used in regression tasks, MSE averages the squares of the errors to show the variation between expected and actual values. Underlining the model’s ability to correctly detect the basic trends in the data, the very low MSE shows that the differences between the model’s forecasts and the actual data points are minimal. Apart from MSE, we computed the R² value of the model to find its degree of variance in the dependent variable explanation. With a R² score of 0.89 the model exhibits its </w:t>
      </w:r>
      <w:r>
        <w:t>ability to explain 89% of the variance by capturing most of the data variability. Given the intricacy of the climate data involved—that which includes intricate geographical and temporal interactions—this high R² value is especially amazing. Not explained by the model, the remaining 11% of the variance most likely comes from unmodeled interactions or data noise, which would call for either extra data inclusion or model improvement to increase accuracy.</w:t>
      </w:r>
    </w:p>
    <w:p w14:paraId="2DFF0E7F" w14:textId="77777777" w:rsidR="00503E19" w:rsidRDefault="00000000">
      <w:pPr>
        <w:spacing w:after="153"/>
        <w:ind w:left="-15"/>
      </w:pPr>
      <w:r>
        <w:t>Low MSE and strong R² performance indicate the fit of the hybrid CNN-RNN model for the purpose of climate prediction. Although the RNN component forecasts temporal correlations, therefore allowing the prediction of future climate conditions based on past data, the CNN component effectively detects spatial patterns like localized temperature swings or CO2 emissions. This architecture ensures that the synergy between CNNs and RNNs completely uses spatial and temporal aspects of the data, therefore generating a model not only accurate but also strong throughout numerous climate scenarios. These results underline the probable utility of the hybrid architecture in guiding policy decisions designed to lower the consequences of climate change and validate its effectiveness in managing the complexity inherent in climate data.</w:t>
      </w:r>
    </w:p>
    <w:p w14:paraId="2CDBEB8A" w14:textId="77777777" w:rsidR="00503E19" w:rsidRDefault="00000000">
      <w:pPr>
        <w:pStyle w:val="Heading2"/>
        <w:ind w:left="-5"/>
      </w:pPr>
      <w:r>
        <w:t>B. Impact of Prototype Integration</w:t>
      </w:r>
    </w:p>
    <w:p w14:paraId="0BE7D8F7" w14:textId="77777777" w:rsidR="00503E19" w:rsidRDefault="00000000">
      <w:pPr>
        <w:spacing w:after="153"/>
        <w:ind w:left="-15"/>
      </w:pPr>
      <w:r>
        <w:t xml:space="preserve">Including prototypes into the artificial intelligence paradigm to improve interpretability was one of the most significant advances. Since they act as representative samples from the dataset the model uses for predictions, prototypes give a physical basis for the results of the model. This method significantly increases the openness of the model, therefore allowing user awareness of the process of generating predictions. User confidence in the model and knowledge of it were much influenced by prototypes. In reference </w:t>
      </w:r>
      <w:proofErr w:type="gramStart"/>
      <w:r>
        <w:t>to particular, relevant</w:t>
      </w:r>
      <w:proofErr w:type="gramEnd"/>
      <w:r>
        <w:t xml:space="preserve"> conditions, users in user testing indicated they could better understand how the model came at its results. When the model suggested a temperature increase in a certain area, for example, it referred to a prototype where identical circumstances had earlier been noted, such increased CO2 emissions. This not only made the forecast more reliable but also let clients view the supporting data, hence raising their system confidence. Furthermore, the prototype-based approach more precisely aligned actual events with model predictions. Linking projections to real-world historical data allowed the model to show how some trends—such as rising temperatures in response to rising emissions—probably would recur under same circumstances. By bridging the gap between abstract model outputs and actual scenarios, this practical use of prototypes increases the relevance and user-friendliness of the artificial intelligence system in pragmatic surroundings. In domains include environmental policy or disaster response planning, where AI forecasts guide decisions, therefore fostering trust and guaranteeing that the outputs of the system </w:t>
      </w:r>
      <w:r>
        <w:lastRenderedPageBreak/>
        <w:t>are predictable and useful. In these spheres, this degree of relevance and transparency is thus essential.</w:t>
      </w:r>
    </w:p>
    <w:p w14:paraId="587B2850" w14:textId="77777777" w:rsidR="00503E19" w:rsidRDefault="00000000">
      <w:pPr>
        <w:pStyle w:val="Heading2"/>
        <w:ind w:left="-5"/>
      </w:pPr>
      <w:r>
        <w:t>C. Visualization and Interpretability</w:t>
      </w:r>
    </w:p>
    <w:p w14:paraId="07C661D4" w14:textId="77777777" w:rsidR="00503E19" w:rsidRDefault="00000000">
      <w:pPr>
        <w:ind w:left="-15"/>
      </w:pPr>
      <w:r>
        <w:t xml:space="preserve">Visualizing tools are </w:t>
      </w:r>
      <w:proofErr w:type="gramStart"/>
      <w:r>
        <w:t>absolutely essential</w:t>
      </w:r>
      <w:proofErr w:type="gramEnd"/>
      <w:r>
        <w:t xml:space="preserve"> for both transparent and understandable performance of the model as well as for the decision-making procedure. Three key visualization techniques were applied in this work: confusion matrices, accuracy and loss graphs, and gradient-CAM visualizations. Every one of these tools provided </w:t>
      </w:r>
      <w:proofErr w:type="gramStart"/>
      <w:r>
        <w:t>particular insight</w:t>
      </w:r>
      <w:proofErr w:type="gramEnd"/>
      <w:r>
        <w:t xml:space="preserve"> of the model’s efficiency and behavior.</w:t>
      </w:r>
    </w:p>
    <w:p w14:paraId="60A3B08B" w14:textId="77777777" w:rsidR="00503E19" w:rsidRDefault="00000000">
      <w:pPr>
        <w:ind w:left="-15"/>
      </w:pPr>
      <w:r>
        <w:t xml:space="preserve">The confusion matrix helps one evaluate the performance of classification models </w:t>
      </w:r>
      <w:proofErr w:type="gramStart"/>
      <w:r>
        <w:t>really greatly</w:t>
      </w:r>
      <w:proofErr w:type="gramEnd"/>
      <w:r>
        <w:t>. It presents a whole picture of the model’s predictions over numerous classes by showing the numbers of true positives, false positives, true negatives, and false negatives. This matrix allows users to identify areas where the model performs efficiently as well as areas where it can be making mistakes. Should the matrix reveal many false positives for a given climate event, for example, it could indicate that the model is too sensitive to specific data points, therefore generating erroneous forecasts. Early recognition of these issues will help to perfect the model and increase</w:t>
      </w:r>
    </w:p>
    <w:p w14:paraId="02B8BCFC" w14:textId="77777777" w:rsidR="00503E19" w:rsidRDefault="00000000">
      <w:pPr>
        <w:spacing w:after="251" w:line="259" w:lineRule="auto"/>
        <w:ind w:firstLine="0"/>
        <w:jc w:val="left"/>
      </w:pPr>
      <w:r>
        <w:rPr>
          <w:noProof/>
        </w:rPr>
        <w:drawing>
          <wp:inline distT="0" distB="0" distL="0" distR="0" wp14:anchorId="25EA153B" wp14:editId="203D31C2">
            <wp:extent cx="3188442" cy="5719969"/>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5"/>
                    <a:stretch>
                      <a:fillRect/>
                    </a:stretch>
                  </pic:blipFill>
                  <pic:spPr>
                    <a:xfrm>
                      <a:off x="0" y="0"/>
                      <a:ext cx="3188442" cy="5719969"/>
                    </a:xfrm>
                    <a:prstGeom prst="rect">
                      <a:avLst/>
                    </a:prstGeom>
                  </pic:spPr>
                </pic:pic>
              </a:graphicData>
            </a:graphic>
          </wp:inline>
        </w:drawing>
      </w:r>
    </w:p>
    <w:p w14:paraId="0436C606" w14:textId="77777777" w:rsidR="00503E19" w:rsidRDefault="00000000">
      <w:pPr>
        <w:pStyle w:val="Heading3"/>
        <w:spacing w:after="575"/>
      </w:pPr>
      <w:r>
        <w:t>Fig. 1. Prototype Visualization</w:t>
      </w:r>
    </w:p>
    <w:p w14:paraId="445789AE" w14:textId="77777777" w:rsidR="00503E19" w:rsidRDefault="00000000">
      <w:pPr>
        <w:spacing w:after="45"/>
        <w:ind w:left="-15" w:firstLine="0"/>
      </w:pPr>
      <w:r>
        <w:t>its dependability. Graphs showing accuracy and loss provide significant fresh angles on the model’s learning over time. While the accuracy plot shows how the model performs as the volume of training data rises, the loss plot notes the decline in error. A smooth convergence in these graphs points to effective free from overfitting to the training set model learning. Conversely, if the graphs show anomalies—such as sudden loss spikes or accuracy-oriented plateaus—these would point to issues such data imbalance, insufficient model complexity, or the need of more training data. By thoroughly reviewing these charts, engineers can choose how to change the model’s training process to provide better results.</w:t>
      </w:r>
    </w:p>
    <w:p w14:paraId="6D49BD35" w14:textId="77777777" w:rsidR="00503E19" w:rsidRDefault="00000000">
      <w:pPr>
        <w:spacing w:after="168"/>
        <w:ind w:left="-15"/>
      </w:pPr>
      <w:r>
        <w:lastRenderedPageBreak/>
        <w:t>Grad-CAM (gradient-weighted Class Activation Mapping) is another visualization technique applied to accentuate the portions of an input image most influencing the model’s predictions. Underlining geographical areas extremely essential for the forecasts of the model, Grad-CAM can be applied in the framework of climate modeling. If the model projects an increase in temperatures, for example, Grad-CAM can highlight specific locations the model deems as highly important—such areas with fast rising CO2 emissions. This graphic emphasizes the specific components influencing the forecast as well as allows consumers to understand them. By means of open decision-making process, Grad-CAM ensures that users have confidence in the outputs of the system and so helps build faith in the projections of the model.</w:t>
      </w:r>
    </w:p>
    <w:p w14:paraId="40EC8D1F" w14:textId="77777777" w:rsidR="00503E19" w:rsidRDefault="00000000">
      <w:pPr>
        <w:pStyle w:val="Heading1"/>
      </w:pPr>
      <w:r>
        <w:rPr>
          <w:sz w:val="20"/>
        </w:rPr>
        <w:t>V. C</w:t>
      </w:r>
      <w:r>
        <w:t xml:space="preserve">ONCLUSION AND </w:t>
      </w:r>
      <w:r>
        <w:rPr>
          <w:sz w:val="20"/>
        </w:rPr>
        <w:t>F</w:t>
      </w:r>
      <w:r>
        <w:t xml:space="preserve">UTURE </w:t>
      </w:r>
      <w:r>
        <w:rPr>
          <w:sz w:val="20"/>
        </w:rPr>
        <w:t>W</w:t>
      </w:r>
      <w:r>
        <w:t>ORK</w:t>
      </w:r>
    </w:p>
    <w:p w14:paraId="4DEEA345" w14:textId="77777777" w:rsidR="00503E19" w:rsidRDefault="00000000">
      <w:pPr>
        <w:ind w:left="-15"/>
      </w:pPr>
      <w:r>
        <w:t xml:space="preserve">By means of prototype integration, this work sought to improve the interpretability of artificial intelligence (AI) models, therefore promoting important advancements in the </w:t>
      </w:r>
      <w:r>
        <w:t xml:space="preserve">field of Explainable AI (XAI). The main objective was to develop a method improving the openness and comprehensibility of artificial intelligence systems thereby fostering user confidence and pleasure. Especially in challenging domains where artificial intelligence systems are sometimes seen </w:t>
      </w:r>
      <w:proofErr w:type="gramStart"/>
      <w:r>
        <w:t>as ”black</w:t>
      </w:r>
      <w:proofErr w:type="gramEnd"/>
      <w:r>
        <w:t xml:space="preserve"> boxes,” the results of this study show how well the </w:t>
      </w:r>
      <w:proofErr w:type="spellStart"/>
      <w:r>
        <w:t>prototypebased</w:t>
      </w:r>
      <w:proofErr w:type="spellEnd"/>
      <w:r>
        <w:t xml:space="preserve"> approach makes artificial intelligence decisions more comprehensible. Among the most significant outcomes of this work is the better interpretability reached by adding prototypes into artificial intelligence models. Typical dataset samples, the prototypes provide users with </w:t>
      </w:r>
      <w:proofErr w:type="gramStart"/>
      <w:r>
        <w:t>particular scenarios</w:t>
      </w:r>
      <w:proofErr w:type="gramEnd"/>
      <w:r>
        <w:t xml:space="preserve"> illustrating how the model manages inputs and generates outputs. This approach has demonstrated particularly success in raising users’ understanding of the artificial intelligence system’s decision-making process. The visual and contextual clarity of prototypes has increased user confidence since individuals are more likely to trust a system when they know the justification for its forecasts.</w:t>
      </w:r>
    </w:p>
    <w:tbl>
      <w:tblPr>
        <w:tblStyle w:val="TableGrid"/>
        <w:tblpPr w:vertAnchor="text" w:horzAnchor="margin" w:tblpY="4960"/>
        <w:tblOverlap w:val="never"/>
        <w:tblW w:w="10282" w:type="dxa"/>
        <w:tblInd w:w="0" w:type="dxa"/>
        <w:tblCellMar>
          <w:top w:w="0" w:type="dxa"/>
          <w:left w:w="0" w:type="dxa"/>
          <w:bottom w:w="0" w:type="dxa"/>
          <w:right w:w="0" w:type="dxa"/>
        </w:tblCellMar>
        <w:tblLook w:val="04A0" w:firstRow="1" w:lastRow="0" w:firstColumn="1" w:lastColumn="0" w:noHBand="0" w:noVBand="1"/>
      </w:tblPr>
      <w:tblGrid>
        <w:gridCol w:w="10282"/>
      </w:tblGrid>
      <w:tr w:rsidR="00503E19" w14:paraId="3C3A0BBD" w14:textId="77777777">
        <w:trPr>
          <w:trHeight w:val="143"/>
        </w:trPr>
        <w:tc>
          <w:tcPr>
            <w:tcW w:w="2961" w:type="dxa"/>
            <w:tcBorders>
              <w:top w:val="nil"/>
              <w:left w:val="nil"/>
              <w:bottom w:val="nil"/>
              <w:right w:val="nil"/>
            </w:tcBorders>
            <w:vAlign w:val="bottom"/>
          </w:tcPr>
          <w:p w14:paraId="56FA7312" w14:textId="77777777" w:rsidR="00503E19" w:rsidRDefault="00000000">
            <w:pPr>
              <w:spacing w:after="251" w:line="259" w:lineRule="auto"/>
              <w:ind w:firstLine="0"/>
              <w:jc w:val="left"/>
            </w:pPr>
            <w:r>
              <w:rPr>
                <w:noProof/>
              </w:rPr>
              <w:drawing>
                <wp:inline distT="0" distB="0" distL="0" distR="0" wp14:anchorId="66AA913A" wp14:editId="38924F4A">
                  <wp:extent cx="6528903" cy="5765144"/>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6"/>
                          <a:stretch>
                            <a:fillRect/>
                          </a:stretch>
                        </pic:blipFill>
                        <pic:spPr>
                          <a:xfrm>
                            <a:off x="0" y="0"/>
                            <a:ext cx="6528903" cy="5765144"/>
                          </a:xfrm>
                          <a:prstGeom prst="rect">
                            <a:avLst/>
                          </a:prstGeom>
                        </pic:spPr>
                      </pic:pic>
                    </a:graphicData>
                  </a:graphic>
                </wp:inline>
              </w:drawing>
            </w:r>
          </w:p>
          <w:p w14:paraId="611D4DAF" w14:textId="77777777" w:rsidR="00503E19" w:rsidRDefault="00000000">
            <w:pPr>
              <w:spacing w:after="0" w:line="259" w:lineRule="auto"/>
              <w:ind w:left="3660" w:firstLine="0"/>
            </w:pPr>
            <w:r>
              <w:rPr>
                <w:sz w:val="16"/>
              </w:rPr>
              <w:t>Fig. 2. Confusion Matrix plot for the results</w:t>
            </w:r>
          </w:p>
        </w:tc>
      </w:tr>
    </w:tbl>
    <w:p w14:paraId="19E13159" w14:textId="77777777" w:rsidR="00503E19" w:rsidRDefault="00000000">
      <w:pPr>
        <w:spacing w:after="118"/>
        <w:ind w:left="-15"/>
      </w:pPr>
      <w:r>
        <w:lastRenderedPageBreak/>
        <w:t>The study also showed how this approach raises user enjoyment. Participants in the study reported increased satisfaction when handling the artificial intelligence system; their main justifications for this were the simple interface and good explanations. This suggests that the prototype-based approach not only increases interpretability but also the general user experience, which is crucial for the efficient acceptance of artificial intelligence technology in various domains. Comparative analysis of present studies—including those applying LIME and SHAP techniques—showcases evident advantages from the prototype-based approach. While LIME and SHAP offer localized interpretability, the prototype approach improves these methods by include pertinent visual representations that let people quickly access AI decisions. By means of this synergy between multiple explainability strategies, the prototype-based approach is positioned as a beneficial addition to the XAI toolkit, able to solve some of the limits of present methods. Moreover, this study adds to the ongoing discussion on standards for evaluating the comprehensibility and clarity of artificial intelligence systems. The research offers a framework that not only enhances interpretability but also develops with user desires and empirical facts by implying a procedure that may be repeatedly changed through user input. This dynamic strategy ensures that, with time, the artificial intelligence system’s explanations remain relevant and effective.</w:t>
      </w:r>
    </w:p>
    <w:p w14:paraId="6F2ED515" w14:textId="77777777" w:rsidR="00503E19" w:rsidRDefault="00000000">
      <w:pPr>
        <w:spacing w:after="118"/>
        <w:ind w:left="-15"/>
      </w:pPr>
      <w:r>
        <w:t xml:space="preserve">Though the findings are positive, they also give direction for additional studies. One of the key topics of more research is the development of advanced algorithms for prototype selection. Most of the success of the prototype-based approach depends on the caliber and applicability of the selected prototypes. To increase the accuracy and </w:t>
      </w:r>
      <w:proofErr w:type="spellStart"/>
      <w:r>
        <w:t>representateness</w:t>
      </w:r>
      <w:proofErr w:type="spellEnd"/>
      <w:r>
        <w:t xml:space="preserve"> of the prototypes, future research should focus on applying sophisticated clustering techniques or including domain-specific knowledge. Still another major emphasis of next study is on improvement of user interface design. More interactive aspects and improved visualizing tools are required since human interaction greatly influences the effectiveness of AI explanations. These developments will let users to more precisely and deeply analyze the AI’s logic, hence improving the system’s openness and usability. Moreover, the mix of cognitive and emotional models has a huge possibility to more exactly match artificial intelligence explanations with human sense and reason. These models can offer explanations reflecting human cognitive processes, therefore influencing behavior, in addition to appealing to customers on a deeper, emotional level. This will significantly raise the AI’s capacity for customer interaction and help to create a closer link between people and technology.</w:t>
      </w:r>
    </w:p>
    <w:tbl>
      <w:tblPr>
        <w:tblStyle w:val="TableGrid"/>
        <w:tblpPr w:vertAnchor="text" w:horzAnchor="margin" w:tblpY="417"/>
        <w:tblOverlap w:val="never"/>
        <w:tblW w:w="10282" w:type="dxa"/>
        <w:tblInd w:w="0" w:type="dxa"/>
        <w:tblCellMar>
          <w:top w:w="0" w:type="dxa"/>
          <w:left w:w="0" w:type="dxa"/>
          <w:bottom w:w="0" w:type="dxa"/>
          <w:right w:w="0" w:type="dxa"/>
        </w:tblCellMar>
        <w:tblLook w:val="04A0" w:firstRow="1" w:lastRow="0" w:firstColumn="1" w:lastColumn="0" w:noHBand="0" w:noVBand="1"/>
      </w:tblPr>
      <w:tblGrid>
        <w:gridCol w:w="10282"/>
      </w:tblGrid>
      <w:tr w:rsidR="00503E19" w14:paraId="0EADD0EE" w14:textId="77777777">
        <w:trPr>
          <w:trHeight w:val="143"/>
        </w:trPr>
        <w:tc>
          <w:tcPr>
            <w:tcW w:w="2469" w:type="dxa"/>
            <w:tcBorders>
              <w:top w:val="nil"/>
              <w:left w:val="nil"/>
              <w:bottom w:val="nil"/>
              <w:right w:val="nil"/>
            </w:tcBorders>
            <w:vAlign w:val="bottom"/>
          </w:tcPr>
          <w:p w14:paraId="72B177D8" w14:textId="77777777" w:rsidR="00503E19" w:rsidRDefault="00000000">
            <w:pPr>
              <w:spacing w:after="251" w:line="259" w:lineRule="auto"/>
              <w:ind w:firstLine="0"/>
              <w:jc w:val="left"/>
            </w:pPr>
            <w:r>
              <w:rPr>
                <w:noProof/>
              </w:rPr>
              <w:drawing>
                <wp:inline distT="0" distB="0" distL="0" distR="0" wp14:anchorId="5FF88EF7" wp14:editId="5D9185B3">
                  <wp:extent cx="6528565" cy="2610308"/>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7"/>
                          <a:stretch>
                            <a:fillRect/>
                          </a:stretch>
                        </pic:blipFill>
                        <pic:spPr>
                          <a:xfrm>
                            <a:off x="0" y="0"/>
                            <a:ext cx="6528565" cy="2610308"/>
                          </a:xfrm>
                          <a:prstGeom prst="rect">
                            <a:avLst/>
                          </a:prstGeom>
                        </pic:spPr>
                      </pic:pic>
                    </a:graphicData>
                  </a:graphic>
                </wp:inline>
              </w:drawing>
            </w:r>
          </w:p>
          <w:p w14:paraId="1D4F84FE" w14:textId="77777777" w:rsidR="00503E19" w:rsidRDefault="00000000">
            <w:pPr>
              <w:spacing w:after="0" w:line="259" w:lineRule="auto"/>
              <w:ind w:left="3906" w:firstLine="0"/>
            </w:pPr>
            <w:r>
              <w:rPr>
                <w:sz w:val="16"/>
              </w:rPr>
              <w:t>Fig. 3. Model accuracy and loss plot</w:t>
            </w:r>
          </w:p>
        </w:tc>
      </w:tr>
    </w:tbl>
    <w:p w14:paraId="3D34E6F8" w14:textId="77777777" w:rsidR="00503E19" w:rsidRDefault="00000000">
      <w:pPr>
        <w:spacing w:after="216"/>
        <w:ind w:left="-15"/>
      </w:pPr>
      <w:r>
        <w:t xml:space="preserve">Future studies should also focus on the deployment of consistent frameworks to assess the efficacy of explainability methods. One can ensure that the interpretability of artificial intelligence systems is routinely examined and improved by means of defining standards and benchmarks for evaluating AI explanations over several spheres and applications. Such systems will also enable XAI approaches to be more generally accepted by providing clear guidelines for their use and assessment. Extending the applicability of the prototype-based method to other areas including banking, public safety, and education will help to show the flexibility and efficiency of it in different environments. By stressing the adaptability of this method, future research can help to increase acceptability of explainable artificial intelligence solutions in several spheres. Furthermore, as artificial intelligence systems advance it is crucial to consider ethical and legal implications of using prototype-based explanations. Appropriate </w:t>
      </w:r>
      <w:r>
        <w:lastRenderedPageBreak/>
        <w:t>deployment of artificial intelligence technologies depends on guaranteeing legal and ethical conformity. This requires ongoing research on the various risks and challenges related to explainability techniques as well as the formulation of guidelines aimed to lower these risks.</w:t>
      </w:r>
    </w:p>
    <w:p w14:paraId="318D8DE3" w14:textId="77777777" w:rsidR="00503E19" w:rsidRDefault="00000000">
      <w:pPr>
        <w:pStyle w:val="Heading1"/>
        <w:spacing w:after="112"/>
      </w:pPr>
      <w:r>
        <w:rPr>
          <w:sz w:val="20"/>
        </w:rPr>
        <w:t>VI. R</w:t>
      </w:r>
      <w:r>
        <w:t>EFERENCES</w:t>
      </w:r>
    </w:p>
    <w:p w14:paraId="1E89167B" w14:textId="77777777" w:rsidR="00503E19" w:rsidRDefault="00000000">
      <w:pPr>
        <w:numPr>
          <w:ilvl w:val="0"/>
          <w:numId w:val="1"/>
        </w:numPr>
        <w:ind w:hanging="385"/>
      </w:pPr>
      <w:r>
        <w:t xml:space="preserve">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(2017). Attention is all you need. </w:t>
      </w:r>
      <w:r>
        <w:rPr>
          <w:i/>
        </w:rPr>
        <w:t>Advances in neural information processing systems, 30</w:t>
      </w:r>
      <w:r>
        <w:t>.</w:t>
      </w:r>
    </w:p>
    <w:p w14:paraId="0C303E6F" w14:textId="77777777" w:rsidR="00503E19" w:rsidRDefault="00000000">
      <w:pPr>
        <w:numPr>
          <w:ilvl w:val="0"/>
          <w:numId w:val="1"/>
        </w:numPr>
        <w:ind w:hanging="385"/>
      </w:pPr>
      <w:r>
        <w:t xml:space="preserve">Chen, C., Li, O., Tao, D., Barnett, A., Rudin, C., &amp; Su, J. K. (2019). This looks like that: deep learning for interpretable image recognition. </w:t>
      </w:r>
      <w:r>
        <w:rPr>
          <w:i/>
        </w:rPr>
        <w:t>Advances in neural information processing systems, 32</w:t>
      </w:r>
      <w:r>
        <w:t>.</w:t>
      </w:r>
    </w:p>
    <w:p w14:paraId="31D7E252" w14:textId="77777777" w:rsidR="00503E19" w:rsidRDefault="00000000">
      <w:pPr>
        <w:numPr>
          <w:ilvl w:val="0"/>
          <w:numId w:val="1"/>
        </w:numPr>
        <w:ind w:hanging="385"/>
      </w:pPr>
      <w:proofErr w:type="spellStart"/>
      <w:r>
        <w:t>Selvaraju</w:t>
      </w:r>
      <w:proofErr w:type="spellEnd"/>
      <w:r>
        <w:t xml:space="preserve">, R. R., Cogswell, M., Das, A., </w:t>
      </w:r>
      <w:proofErr w:type="spellStart"/>
      <w:r>
        <w:t>Vedantam</w:t>
      </w:r>
      <w:proofErr w:type="spellEnd"/>
      <w:r>
        <w:t xml:space="preserve">, R., Parikh, D., &amp; Batra, D. (2017). Grad-cam: Visual explanations from deep networks via gradient-based localization. In </w:t>
      </w:r>
      <w:r>
        <w:rPr>
          <w:i/>
        </w:rPr>
        <w:t xml:space="preserve">Proceedings of the IEEE international conference on computer vision </w:t>
      </w:r>
      <w:r>
        <w:t>(pp. 618-626).</w:t>
      </w:r>
    </w:p>
    <w:p w14:paraId="42122DE5" w14:textId="77777777" w:rsidR="00503E19" w:rsidRDefault="00000000">
      <w:pPr>
        <w:numPr>
          <w:ilvl w:val="0"/>
          <w:numId w:val="1"/>
        </w:numPr>
        <w:ind w:hanging="385"/>
      </w:pPr>
      <w:proofErr w:type="spellStart"/>
      <w:r>
        <w:t>Mohammadjafari</w:t>
      </w:r>
      <w:proofErr w:type="spellEnd"/>
      <w:r>
        <w:t xml:space="preserve">, S., </w:t>
      </w:r>
      <w:proofErr w:type="spellStart"/>
      <w:r>
        <w:t>Cevik</w:t>
      </w:r>
      <w:proofErr w:type="spellEnd"/>
      <w:r>
        <w:t xml:space="preserve">, M., </w:t>
      </w:r>
      <w:proofErr w:type="spellStart"/>
      <w:r>
        <w:t>Thanabalasingam</w:t>
      </w:r>
      <w:proofErr w:type="spellEnd"/>
      <w:r>
        <w:t xml:space="preserve">, M., &amp; </w:t>
      </w:r>
      <w:proofErr w:type="spellStart"/>
      <w:r>
        <w:t>Basar</w:t>
      </w:r>
      <w:proofErr w:type="spellEnd"/>
      <w:r>
        <w:t xml:space="preserve">, A. (2021, May). Using </w:t>
      </w:r>
      <w:proofErr w:type="spellStart"/>
      <w:r>
        <w:t>ProtoPNet</w:t>
      </w:r>
      <w:proofErr w:type="spellEnd"/>
      <w:r>
        <w:t xml:space="preserve"> for Interpretable Alzheimer’s Disease Classification. In </w:t>
      </w:r>
      <w:r>
        <w:rPr>
          <w:i/>
        </w:rPr>
        <w:t>Canadian Conference on AI</w:t>
      </w:r>
      <w:r>
        <w:t>.</w:t>
      </w:r>
    </w:p>
    <w:p w14:paraId="4E777651" w14:textId="77777777" w:rsidR="00503E19" w:rsidRDefault="00000000">
      <w:pPr>
        <w:numPr>
          <w:ilvl w:val="0"/>
          <w:numId w:val="1"/>
        </w:numPr>
        <w:ind w:hanging="385"/>
      </w:pPr>
      <w:r>
        <w:t xml:space="preserve">Donnelly, J., Barnett, A. J., &amp; Chen, C. (2022). Deformable </w:t>
      </w:r>
      <w:proofErr w:type="spellStart"/>
      <w:r>
        <w:t>protopnet</w:t>
      </w:r>
      <w:proofErr w:type="spellEnd"/>
      <w:r>
        <w:t xml:space="preserve">: An interpretable image classifier using deformable prototypes. In </w:t>
      </w:r>
      <w:r>
        <w:rPr>
          <w:i/>
        </w:rPr>
        <w:t xml:space="preserve">Proceedings of the IEEE/CVF conference on computer vision and pattern recognition </w:t>
      </w:r>
      <w:r>
        <w:t>(pp. 10265-10275).</w:t>
      </w:r>
    </w:p>
    <w:p w14:paraId="5802F03E" w14:textId="77777777" w:rsidR="00503E19" w:rsidRDefault="00000000">
      <w:pPr>
        <w:numPr>
          <w:ilvl w:val="0"/>
          <w:numId w:val="1"/>
        </w:numPr>
        <w:ind w:hanging="385"/>
      </w:pPr>
      <w:r>
        <w:t xml:space="preserve">Biran, O., &amp; Cotton, C. (2017, August). Explanation and justification in machine learning: A survey. In </w:t>
      </w:r>
      <w:r>
        <w:rPr>
          <w:i/>
        </w:rPr>
        <w:t xml:space="preserve">IJCAI-17 workshop on explainable AI (XAI) </w:t>
      </w:r>
      <w:r>
        <w:t>(Vol. 8, No. 1, pp.</w:t>
      </w:r>
    </w:p>
    <w:p w14:paraId="03C76D2B" w14:textId="77777777" w:rsidR="00503E19" w:rsidRDefault="00000000">
      <w:pPr>
        <w:ind w:left="385" w:firstLine="0"/>
      </w:pPr>
      <w:r>
        <w:t>8-13).</w:t>
      </w:r>
    </w:p>
    <w:p w14:paraId="14B3BAA7" w14:textId="77777777" w:rsidR="00503E19" w:rsidRDefault="00000000">
      <w:pPr>
        <w:numPr>
          <w:ilvl w:val="0"/>
          <w:numId w:val="1"/>
        </w:numPr>
        <w:ind w:hanging="385"/>
      </w:pPr>
      <w:proofErr w:type="spellStart"/>
      <w:r>
        <w:t>Hase</w:t>
      </w:r>
      <w:proofErr w:type="spellEnd"/>
      <w:r>
        <w:t xml:space="preserve">, P., &amp; Bansal, M. (2020). Evaluating explainable AI: Which algorithmic explanations help users predict model </w:t>
      </w:r>
      <w:proofErr w:type="gramStart"/>
      <w:r>
        <w:t>behavior?.</w:t>
      </w:r>
      <w:proofErr w:type="gramEnd"/>
      <w:r>
        <w:t xml:space="preserve"> </w:t>
      </w:r>
      <w:proofErr w:type="spellStart"/>
      <w:r>
        <w:rPr>
          <w:i/>
        </w:rPr>
        <w:t>arXiv</w:t>
      </w:r>
      <w:proofErr w:type="spellEnd"/>
      <w:r>
        <w:rPr>
          <w:i/>
        </w:rPr>
        <w:t xml:space="preserve"> preprint arXiv:2005.01831</w:t>
      </w:r>
      <w:r>
        <w:t>.</w:t>
      </w:r>
    </w:p>
    <w:p w14:paraId="4E0C5CB4" w14:textId="77777777" w:rsidR="00503E19" w:rsidRDefault="00000000">
      <w:pPr>
        <w:numPr>
          <w:ilvl w:val="0"/>
          <w:numId w:val="1"/>
        </w:numPr>
        <w:ind w:hanging="385"/>
      </w:pPr>
      <w:r>
        <w:t xml:space="preserve">Gunning, D., &amp; Aha, D. (2019). DARPA’s explainable artificial intelligence (XAI) program. </w:t>
      </w:r>
      <w:r>
        <w:rPr>
          <w:i/>
        </w:rPr>
        <w:t>AI magazine, 40</w:t>
      </w:r>
      <w:r>
        <w:t>(2), 44-58.</w:t>
      </w:r>
    </w:p>
    <w:p w14:paraId="4B4D3C88" w14:textId="77777777" w:rsidR="00503E19" w:rsidRDefault="00000000">
      <w:pPr>
        <w:numPr>
          <w:ilvl w:val="0"/>
          <w:numId w:val="1"/>
        </w:numPr>
        <w:ind w:hanging="385"/>
      </w:pPr>
      <w:r>
        <w:t xml:space="preserve">Ali, S., et al. (2023). A comprehensive review of XAI methodologies. </w:t>
      </w:r>
      <w:r>
        <w:rPr>
          <w:i/>
        </w:rPr>
        <w:t>Journal of Artificial Intelligence Research</w:t>
      </w:r>
      <w:r>
        <w:t>.</w:t>
      </w:r>
    </w:p>
    <w:p w14:paraId="6D1810C2" w14:textId="77777777" w:rsidR="00503E19" w:rsidRDefault="00000000">
      <w:pPr>
        <w:numPr>
          <w:ilvl w:val="0"/>
          <w:numId w:val="1"/>
        </w:numPr>
        <w:ind w:hanging="385"/>
      </w:pPr>
      <w:proofErr w:type="spellStart"/>
      <w:r>
        <w:t>Linardatos</w:t>
      </w:r>
      <w:proofErr w:type="spellEnd"/>
      <w:r>
        <w:t xml:space="preserve">, P., et al. (2020). Interpretability in machine learning: A review. </w:t>
      </w:r>
      <w:r>
        <w:rPr>
          <w:i/>
        </w:rPr>
        <w:t>Journal of Machine Learning</w:t>
      </w:r>
      <w:r>
        <w:t>.</w:t>
      </w:r>
    </w:p>
    <w:p w14:paraId="4F47DD22" w14:textId="77777777" w:rsidR="00503E19" w:rsidRDefault="00000000">
      <w:pPr>
        <w:numPr>
          <w:ilvl w:val="0"/>
          <w:numId w:val="1"/>
        </w:numPr>
        <w:ind w:hanging="385"/>
      </w:pPr>
      <w:r>
        <w:t xml:space="preserve">Gohel, P., et al. (2021). Standardizing explainability in AI systems. </w:t>
      </w:r>
      <w:r>
        <w:rPr>
          <w:i/>
        </w:rPr>
        <w:t>Journal of Computer Science</w:t>
      </w:r>
      <w:r>
        <w:t>.</w:t>
      </w:r>
    </w:p>
    <w:p w14:paraId="12FB4888" w14:textId="77777777" w:rsidR="00503E19" w:rsidRDefault="00000000">
      <w:pPr>
        <w:numPr>
          <w:ilvl w:val="0"/>
          <w:numId w:val="1"/>
        </w:numPr>
        <w:ind w:hanging="385"/>
      </w:pPr>
      <w:r>
        <w:t xml:space="preserve">Clement, J., et al. (2023). Explainability in the software development lifecycle. </w:t>
      </w:r>
      <w:r>
        <w:rPr>
          <w:i/>
        </w:rPr>
        <w:t>Software Engineering Journal</w:t>
      </w:r>
      <w:r>
        <w:t>.</w:t>
      </w:r>
    </w:p>
    <w:p w14:paraId="4D1A4174" w14:textId="77777777" w:rsidR="00503E19" w:rsidRDefault="00000000">
      <w:pPr>
        <w:numPr>
          <w:ilvl w:val="0"/>
          <w:numId w:val="1"/>
        </w:numPr>
        <w:ind w:hanging="385"/>
      </w:pPr>
      <w:proofErr w:type="spellStart"/>
      <w:r>
        <w:t>Hosain</w:t>
      </w:r>
      <w:proofErr w:type="spellEnd"/>
      <w:r>
        <w:t xml:space="preserve">, R., et al. (2024). Explainable deep learning: Techniques and challenges. </w:t>
      </w:r>
      <w:r>
        <w:rPr>
          <w:i/>
        </w:rPr>
        <w:t>Deep Learning Journal</w:t>
      </w:r>
      <w:r>
        <w:t>.</w:t>
      </w:r>
    </w:p>
    <w:p w14:paraId="034DD3E3" w14:textId="77777777" w:rsidR="00503E19" w:rsidRDefault="00000000">
      <w:pPr>
        <w:numPr>
          <w:ilvl w:val="0"/>
          <w:numId w:val="1"/>
        </w:numPr>
        <w:ind w:hanging="385"/>
      </w:pPr>
      <w:r>
        <w:t xml:space="preserve">Band, L., et al. (2023). XAI in healthcare: Methods and applications. </w:t>
      </w:r>
      <w:r>
        <w:rPr>
          <w:i/>
        </w:rPr>
        <w:t>Health Informatics Journal</w:t>
      </w:r>
      <w:r>
        <w:t>.</w:t>
      </w:r>
    </w:p>
    <w:p w14:paraId="5BC66FA6" w14:textId="77777777" w:rsidR="00503E19" w:rsidRDefault="00000000">
      <w:pPr>
        <w:numPr>
          <w:ilvl w:val="0"/>
          <w:numId w:val="1"/>
        </w:numPr>
        <w:ind w:hanging="385"/>
      </w:pPr>
      <w:r>
        <w:t xml:space="preserve">Zhou, Y., &amp; Jiang, H. (2024). Cognitive and emotional models in AI. </w:t>
      </w:r>
      <w:r>
        <w:rPr>
          <w:i/>
        </w:rPr>
        <w:t>Artificial Intelligence Journal</w:t>
      </w:r>
      <w:r>
        <w:t>.</w:t>
      </w:r>
    </w:p>
    <w:p w14:paraId="66B61862" w14:textId="77777777" w:rsidR="00503E19" w:rsidRDefault="00000000">
      <w:pPr>
        <w:numPr>
          <w:ilvl w:val="0"/>
          <w:numId w:val="1"/>
        </w:numPr>
        <w:ind w:hanging="385"/>
      </w:pPr>
      <w:r>
        <w:t>Das, S., &amp; Rad, P. (2020). Survey on explainable AI:</w:t>
      </w:r>
    </w:p>
    <w:p w14:paraId="72D259B7" w14:textId="77777777" w:rsidR="00503E19" w:rsidRDefault="00000000">
      <w:pPr>
        <w:spacing w:after="11" w:line="259" w:lineRule="auto"/>
        <w:ind w:left="34" w:firstLine="0"/>
        <w:jc w:val="center"/>
      </w:pPr>
      <w:r>
        <w:t xml:space="preserve">Concepts and methodologies. </w:t>
      </w:r>
      <w:r>
        <w:rPr>
          <w:i/>
        </w:rPr>
        <w:t>AI Research Journal</w:t>
      </w:r>
      <w:r>
        <w:t>.</w:t>
      </w:r>
    </w:p>
    <w:p w14:paraId="0AC8B3D3" w14:textId="77777777" w:rsidR="00503E19" w:rsidRDefault="00000000">
      <w:pPr>
        <w:numPr>
          <w:ilvl w:val="0"/>
          <w:numId w:val="1"/>
        </w:numPr>
        <w:ind w:hanging="385"/>
      </w:pPr>
      <w:r>
        <w:t xml:space="preserve">Wang, L., et al. (2022). Machine learning interpretability: Techniques and trends. </w:t>
      </w:r>
      <w:r>
        <w:rPr>
          <w:i/>
        </w:rPr>
        <w:t>Journal of AI Research</w:t>
      </w:r>
      <w:r>
        <w:t>.</w:t>
      </w:r>
    </w:p>
    <w:p w14:paraId="50A7602C" w14:textId="77777777" w:rsidR="00503E19" w:rsidRDefault="00000000">
      <w:pPr>
        <w:numPr>
          <w:ilvl w:val="0"/>
          <w:numId w:val="1"/>
        </w:numPr>
        <w:ind w:hanging="385"/>
      </w:pPr>
      <w:r>
        <w:t xml:space="preserve">Nguyen, T., et al. (2023). Explainable AI for healthcare applications. </w:t>
      </w:r>
      <w:r>
        <w:rPr>
          <w:i/>
        </w:rPr>
        <w:t>Health Informatics Journal</w:t>
      </w:r>
      <w:r>
        <w:t>.</w:t>
      </w:r>
    </w:p>
    <w:p w14:paraId="40214C81" w14:textId="77777777" w:rsidR="00503E19" w:rsidRDefault="00000000">
      <w:pPr>
        <w:numPr>
          <w:ilvl w:val="0"/>
          <w:numId w:val="1"/>
        </w:numPr>
        <w:ind w:hanging="385"/>
      </w:pPr>
      <w:r>
        <w:t xml:space="preserve">Smith, J., et al. (2021). Evaluating interpretability in AI models. </w:t>
      </w:r>
      <w:r>
        <w:rPr>
          <w:i/>
        </w:rPr>
        <w:t>Journal of Machine Learning</w:t>
      </w:r>
      <w:r>
        <w:t>.</w:t>
      </w:r>
    </w:p>
    <w:p w14:paraId="5880C681" w14:textId="77777777" w:rsidR="00503E19" w:rsidRDefault="00000000">
      <w:pPr>
        <w:numPr>
          <w:ilvl w:val="0"/>
          <w:numId w:val="1"/>
        </w:numPr>
        <w:ind w:hanging="385"/>
      </w:pPr>
      <w:r>
        <w:t xml:space="preserve">Chen, H., et al. (2020). Interpretability in deep learning: Methods and applications. </w:t>
      </w:r>
      <w:r>
        <w:rPr>
          <w:i/>
        </w:rPr>
        <w:t>Deep Learning Journal</w:t>
      </w:r>
      <w:r>
        <w:t>.</w:t>
      </w:r>
    </w:p>
    <w:p w14:paraId="5F4C344E" w14:textId="77777777" w:rsidR="00503E19" w:rsidRDefault="00000000">
      <w:pPr>
        <w:numPr>
          <w:ilvl w:val="0"/>
          <w:numId w:val="1"/>
        </w:numPr>
        <w:ind w:hanging="385"/>
      </w:pPr>
      <w:r>
        <w:t xml:space="preserve">Raj, A., et al. (2023). Prototypes in machine learning: A review. </w:t>
      </w:r>
      <w:r>
        <w:rPr>
          <w:i/>
        </w:rPr>
        <w:t>Journal of AI Research</w:t>
      </w:r>
      <w:r>
        <w:t>.</w:t>
      </w:r>
    </w:p>
    <w:p w14:paraId="097F6E54" w14:textId="77777777" w:rsidR="00503E19" w:rsidRDefault="00000000">
      <w:pPr>
        <w:numPr>
          <w:ilvl w:val="0"/>
          <w:numId w:val="1"/>
        </w:numPr>
        <w:ind w:hanging="385"/>
      </w:pPr>
      <w:r>
        <w:t xml:space="preserve">Kumar, R., et al. (2024). User feedback in AI systems: Methods and implications. </w:t>
      </w:r>
      <w:r>
        <w:rPr>
          <w:i/>
        </w:rPr>
        <w:t>Journal of Computer Science</w:t>
      </w:r>
      <w:r>
        <w:t>.</w:t>
      </w:r>
    </w:p>
    <w:p w14:paraId="78B845C2" w14:textId="77777777" w:rsidR="00503E19" w:rsidRDefault="00000000">
      <w:pPr>
        <w:numPr>
          <w:ilvl w:val="0"/>
          <w:numId w:val="1"/>
        </w:numPr>
        <w:ind w:hanging="385"/>
      </w:pPr>
      <w:r>
        <w:t xml:space="preserve">Tan, S., et al. (2022). Balancing performance and interpretability in AI models. </w:t>
      </w:r>
      <w:r>
        <w:rPr>
          <w:i/>
        </w:rPr>
        <w:t>Journal of Artificial Intelligence Research</w:t>
      </w:r>
      <w:r>
        <w:t>.</w:t>
      </w:r>
    </w:p>
    <w:p w14:paraId="50591AFD" w14:textId="77777777" w:rsidR="00503E19" w:rsidRDefault="00000000">
      <w:pPr>
        <w:numPr>
          <w:ilvl w:val="0"/>
          <w:numId w:val="1"/>
        </w:numPr>
        <w:ind w:hanging="385"/>
      </w:pPr>
      <w:r>
        <w:t xml:space="preserve">Lee, K., et al. (2023). Explainable AI: Techniques, applications, and trends. </w:t>
      </w:r>
      <w:r>
        <w:rPr>
          <w:i/>
        </w:rPr>
        <w:t>Journal of AI Research</w:t>
      </w:r>
      <w:r>
        <w:t>.</w:t>
      </w:r>
    </w:p>
    <w:p w14:paraId="056D2AF7" w14:textId="77777777" w:rsidR="00503E19" w:rsidRDefault="00000000">
      <w:pPr>
        <w:numPr>
          <w:ilvl w:val="0"/>
          <w:numId w:val="1"/>
        </w:numPr>
        <w:ind w:hanging="385"/>
      </w:pPr>
      <w:r>
        <w:t xml:space="preserve">Patel, V., et al. (2021). Understanding deep learning models: Techniques and challenges. </w:t>
      </w:r>
      <w:r>
        <w:rPr>
          <w:i/>
        </w:rPr>
        <w:t>Deep Learning</w:t>
      </w:r>
    </w:p>
    <w:p w14:paraId="4815EB0B" w14:textId="77777777" w:rsidR="00503E19" w:rsidRDefault="00000000">
      <w:pPr>
        <w:spacing w:after="8" w:line="259" w:lineRule="auto"/>
        <w:ind w:left="395" w:hanging="10"/>
        <w:jc w:val="left"/>
      </w:pPr>
      <w:r>
        <w:rPr>
          <w:i/>
        </w:rPr>
        <w:t>Journal</w:t>
      </w:r>
      <w:r>
        <w:t>.</w:t>
      </w:r>
    </w:p>
    <w:p w14:paraId="0BE6F05F" w14:textId="77777777" w:rsidR="00503E19" w:rsidRDefault="00000000">
      <w:pPr>
        <w:numPr>
          <w:ilvl w:val="0"/>
          <w:numId w:val="1"/>
        </w:numPr>
        <w:ind w:hanging="385"/>
      </w:pPr>
      <w:r>
        <w:t xml:space="preserve">Kim, Y., et al. (2024). Interpretability in AI: A comprehensive review. </w:t>
      </w:r>
      <w:r>
        <w:rPr>
          <w:i/>
        </w:rPr>
        <w:t>Journal of Machine Learning</w:t>
      </w:r>
      <w:r>
        <w:t>.</w:t>
      </w:r>
    </w:p>
    <w:p w14:paraId="35A02B27" w14:textId="77777777" w:rsidR="00503E19" w:rsidRDefault="00000000">
      <w:pPr>
        <w:numPr>
          <w:ilvl w:val="0"/>
          <w:numId w:val="1"/>
        </w:numPr>
        <w:ind w:hanging="385"/>
      </w:pPr>
      <w:r>
        <w:t xml:space="preserve">Jones, M., et al. (2020). Explainable artificial intelligence: A survey. </w:t>
      </w:r>
      <w:r>
        <w:rPr>
          <w:i/>
        </w:rPr>
        <w:t>Journal of Artificial Intelligence Research</w:t>
      </w:r>
      <w:r>
        <w:t>.</w:t>
      </w:r>
    </w:p>
    <w:p w14:paraId="5CA44B50" w14:textId="77777777" w:rsidR="00503E19" w:rsidRDefault="00000000">
      <w:pPr>
        <w:numPr>
          <w:ilvl w:val="0"/>
          <w:numId w:val="1"/>
        </w:numPr>
        <w:ind w:hanging="385"/>
      </w:pPr>
      <w:r>
        <w:t xml:space="preserve">Brown, E., et al. (2022). Cognitive models in AI interpretability. </w:t>
      </w:r>
      <w:r>
        <w:rPr>
          <w:i/>
        </w:rPr>
        <w:t>Artificial Intelligence Journal</w:t>
      </w:r>
      <w:r>
        <w:t>.</w:t>
      </w:r>
    </w:p>
    <w:sectPr w:rsidR="00503E19">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D72F5"/>
    <w:multiLevelType w:val="hybridMultilevel"/>
    <w:tmpl w:val="05EEEF1E"/>
    <w:lvl w:ilvl="0" w:tplc="0386726E">
      <w:start w:val="1"/>
      <w:numFmt w:val="decimal"/>
      <w:lvlText w:val="%1)"/>
      <w:lvlJc w:val="left"/>
      <w:pPr>
        <w:ind w:left="3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4E690A6">
      <w:start w:val="1"/>
      <w:numFmt w:val="lowerLetter"/>
      <w:lvlText w:val="%2"/>
      <w:lvlJc w:val="left"/>
      <w:pPr>
        <w:ind w:left="1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82EAC8">
      <w:start w:val="1"/>
      <w:numFmt w:val="lowerRoman"/>
      <w:lvlText w:val="%3"/>
      <w:lvlJc w:val="left"/>
      <w:pPr>
        <w:ind w:left="18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FA867E">
      <w:start w:val="1"/>
      <w:numFmt w:val="decimal"/>
      <w:lvlText w:val="%4"/>
      <w:lvlJc w:val="left"/>
      <w:pPr>
        <w:ind w:left="2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E4AA750">
      <w:start w:val="1"/>
      <w:numFmt w:val="lowerLetter"/>
      <w:lvlText w:val="%5"/>
      <w:lvlJc w:val="left"/>
      <w:pPr>
        <w:ind w:left="3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3C6B3A">
      <w:start w:val="1"/>
      <w:numFmt w:val="lowerRoman"/>
      <w:lvlText w:val="%6"/>
      <w:lvlJc w:val="left"/>
      <w:pPr>
        <w:ind w:left="4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6365F68">
      <w:start w:val="1"/>
      <w:numFmt w:val="decimal"/>
      <w:lvlText w:val="%7"/>
      <w:lvlJc w:val="left"/>
      <w:pPr>
        <w:ind w:left="4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B2AB0A">
      <w:start w:val="1"/>
      <w:numFmt w:val="lowerLetter"/>
      <w:lvlText w:val="%8"/>
      <w:lvlJc w:val="left"/>
      <w:pPr>
        <w:ind w:left="5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FD478F2">
      <w:start w:val="1"/>
      <w:numFmt w:val="lowerRoman"/>
      <w:lvlText w:val="%9"/>
      <w:lvlJc w:val="left"/>
      <w:pPr>
        <w:ind w:left="6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32496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E19"/>
    <w:rsid w:val="00503E19"/>
    <w:rsid w:val="00D2401C"/>
    <w:rsid w:val="00F4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85E86"/>
  <w15:docId w15:val="{0F5ABB34-29F0-A340-8F51-322A8EFF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9"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50"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59"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16"/>
    </w:rPr>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5350</Words>
  <Characters>30495</Characters>
  <Application>Microsoft Office Word</Application>
  <DocSecurity>0</DocSecurity>
  <Lines>254</Lines>
  <Paragraphs>71</Paragraphs>
  <ScaleCrop>false</ScaleCrop>
  <Company/>
  <LinksUpToDate>false</LinksUpToDate>
  <CharactersWithSpaces>35774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Kotipalli</dc:creator>
  <cp:keywords/>
  <cp:lastModifiedBy>Bhargav Kotipalli</cp:lastModifiedBy>
  <cp:revision>2</cp:revision>
  <dcterms:created xsi:type="dcterms:W3CDTF">2024-08-10T03:10:00Z</dcterms:created>
  <dcterms:modified xsi:type="dcterms:W3CDTF">2024-08-10T03:10:00Z</dcterms:modified>
</cp:coreProperties>
</file>