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Adult Income Prediction and Data Science Analysis</w:t>
      </w:r>
    </w:p>
    <w:p>
      <w:pPr>
        <w:jc w:val="center"/>
      </w:pPr>
      <w:r>
        <w:rPr>
          <w:i/>
          <w:sz w:val="24"/>
        </w:rPr>
        <w:t>Week 6 — Integrative Capstone Project and Evaluation</w:t>
      </w:r>
    </w:p>
    <w:p/>
    <w:p>
      <w:pPr>
        <w:jc w:val="center"/>
      </w:pPr>
      <w:r>
        <w:rPr>
          <w:i/>
          <w:sz w:val="24"/>
        </w:rPr>
        <w:t>End-to-End Python Data Science, Machine Learning and Deep Learning Pipeline</w:t>
      </w:r>
    </w:p>
    <w:p/>
    <w:p/>
    <w:p>
      <w:pPr>
        <w:jc w:val="center"/>
      </w:pPr>
      <w:r>
        <w:rPr>
          <w:b/>
          <w:sz w:val="28"/>
        </w:rPr>
        <w:t>Internship Capstone Report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This final capstone integrates the complete data science workflow developed throughout the six-week internship using the Adult Income dataset. The project combines data preparation, exploratory data analysis, unsupervised learning, supervised machine learning, and deep learning into a single analytical pipeline.</w:t>
      </w:r>
    </w:p>
    <w:p>
      <w:pPr>
        <w:spacing w:after="120"/>
      </w:pPr>
      <w:r>
        <w:t>The primary objective is to understand factors associated with income classification and predict whether an individual belongs to the `&lt;=50K` or `&gt;50K` annual income category.</w:t>
      </w:r>
    </w:p>
    <w:p>
      <w:pPr>
        <w:spacing w:after="120"/>
      </w:pPr>
      <w:r>
        <w:t>The project evaluates multiple traditional machine-learning models along with a neural network. The final neural network achieved 83.06% accuracy, 60.49% precision, 85.54% recall, 70.87% F1-score, and 91.90% ROC-AUC.</w:t>
      </w:r>
    </w:p>
    <w:p>
      <w:pPr>
        <w:spacing w:after="120"/>
      </w:pPr>
      <w:r>
        <w:t>The analysis demonstrates that model selection depends on the application objective. Random Forest provided stronger overall accuracy and precision, while the neural network provided strong recall for the minority `&gt;50K` class.</w:t>
      </w:r>
    </w:p>
    <w:p>
      <w:pPr>
        <w:pStyle w:val="Heading1"/>
      </w:pPr>
      <w:r>
        <w:t>2. Problem Statement</w:t>
      </w:r>
    </w:p>
    <w:p>
      <w:pPr>
        <w:spacing w:after="120"/>
      </w:pPr>
      <w:r>
        <w:t>Income classification is a useful example of a binary classification problem involving demographic, educational, employment, and financial information. The goal of this project is to develop a complete data science workflow capable of analyzing the factors associated with income and predicting whether an individual's annual income is greater than $50K.</w:t>
      </w:r>
    </w:p>
    <w:p>
      <w:pPr>
        <w:spacing w:after="120"/>
      </w:pPr>
      <w:r>
        <w:t>The problem is challenging because the target classes are imbalanced. There are substantially more observations in the `&lt;=50K` category than in the `&gt;50K` category. Therefore, model performance must be evaluated using multiple metrics rather than accuracy alone.</w:t>
      </w:r>
    </w:p>
    <w:p>
      <w:pPr>
        <w:pStyle w:val="Heading1"/>
      </w:pPr>
      <w:r>
        <w:t>3. Dataset and Data Preparation</w:t>
      </w:r>
    </w:p>
    <w:p>
      <w:pPr>
        <w:spacing w:after="120"/>
      </w:pPr>
      <w:r>
        <w:t>The project uses the cleaned Adult Income dataset developed during the earlier stages of the internship. The final dataset contains 32,537 observations and 15 original variables, with `income` serving as the target variable.</w:t>
      </w:r>
    </w:p>
    <w:p>
      <w:pPr>
        <w:spacing w:after="120"/>
      </w:pPr>
      <w:r>
        <w:t>The dataset contains demographic variables such as age, sex, race, and relationship; educational variables such as education and education number; employment variables such as workclass, occupation, and hours per week; and financial variables including capital gain and capital loss.</w:t>
      </w:r>
    </w:p>
    <w:p>
      <w:pPr>
        <w:pStyle w:val="Heading2"/>
      </w:pPr>
      <w:r>
        <w:t>Target Distribution</w:t>
      </w:r>
    </w:p>
    <w:p>
      <w:pPr>
        <w:spacing w:after="120"/>
      </w:pPr>
      <w:r>
        <w:t>The target distribution contains 24,698 individuals in the `&lt;=50K` category and 7,839 individuals in the `&gt;50K` category. This corresponds to approximately 75.91% and 24.09%, respectively.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5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Distribution of the Adult Income target classes.</w:t>
      </w:r>
    </w:p>
    <w:p>
      <w:pPr>
        <w:pStyle w:val="Heading1"/>
      </w:pPr>
      <w:r>
        <w:t>4. Exploratory Data Analysis</w:t>
      </w:r>
    </w:p>
    <w:p>
      <w:pPr>
        <w:spacing w:after="120"/>
      </w:pPr>
      <w:r>
        <w:t>Exploratory data analysis was performed to identify patterns and relationships that could help explain income classification before building predictive models.</w:t>
      </w:r>
    </w:p>
    <w:p>
      <w:pPr>
        <w:pStyle w:val="Heading2"/>
      </w:pPr>
      <w:r>
        <w:t>4.1 Education and Income</w:t>
      </w:r>
    </w:p>
    <w:p>
      <w:pPr>
        <w:spacing w:after="120"/>
      </w:pPr>
      <w:r>
        <w:t>Educational attainment showed a meaningful association with income. Education levels associated with higher qualifications generally contained a larger proportion of individuals earning more than $50K.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education_in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Income distribution across education levels.</w:t>
      </w:r>
    </w:p>
    <w:p>
      <w:pPr>
        <w:pStyle w:val="Heading2"/>
      </w:pPr>
      <w:r>
        <w:t>4.2 Age and Income</w:t>
      </w:r>
    </w:p>
    <w:p>
      <w:pPr>
        <w:spacing w:after="120"/>
      </w:pPr>
      <w:r>
        <w:t>The higher-income group generally showed an older age distribution. This pattern may reflect differences in work experience, career progression, and earning potential.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6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age_in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Age distribution by income category.</w:t>
      </w:r>
    </w:p>
    <w:p>
      <w:pPr>
        <w:pStyle w:val="Heading2"/>
      </w:pPr>
      <w:r>
        <w:t>4.3 Working Hours and Income</w:t>
      </w:r>
    </w:p>
    <w:p>
      <w:pPr>
        <w:spacing w:after="120"/>
      </w:pPr>
      <w:r>
        <w:t>Individuals in the higher-income category generally showed higher weekly working hours. Working hours therefore provide useful information for income classification, although they cannot independently determine income.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7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hours_inc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Weekly working hours by income category.</w:t>
      </w:r>
    </w:p>
    <w:p>
      <w:pPr>
        <w:pStyle w:val="Heading1"/>
      </w:pPr>
      <w:r>
        <w:t>5. Unsupervised Learning — K-Means and PCA</w:t>
      </w:r>
    </w:p>
    <w:p>
      <w:pPr>
        <w:spacing w:after="120"/>
      </w:pPr>
      <w:r>
        <w:t>K-Means clustering was used to identify naturally occurring groups within the dataset. The clustering stage used age, education number, hours per week, capital gain, and capital loss.</w:t>
      </w:r>
    </w:p>
    <w:p>
      <w:pPr>
        <w:spacing w:after="120"/>
      </w:pPr>
      <w:r>
        <w:t>The features were standardized before clustering because they operate on different numerical scales. Silhouette-score analysis supported the selection of K=2.</w:t>
      </w:r>
    </w:p>
    <w:p>
      <w:pPr>
        <w:spacing w:after="120"/>
      </w:pPr>
      <w:r>
        <w:t>The resulting clusters showed meaningful differences. One smaller cluster contained approximately 1,484 observations, while the larger cluster contained approximately 31,053 observations.</w:t>
      </w:r>
    </w:p>
    <w:p>
      <w:pPr>
        <w:spacing w:after="120"/>
      </w:pPr>
      <w:r>
        <w:t>The smaller cluster had an average age of approximately 41.63 years, education number of 10.99, and 43.36 working hours per week. Approximately 51.95% of this group belonged to the `&gt;50K` category.</w:t>
      </w:r>
    </w:p>
    <w:p>
      <w:pPr>
        <w:spacing w:after="120"/>
      </w:pPr>
      <w:r>
        <w:t>The larger cluster had an average age of approximately 38.44 years, education number of 10.04, and 40.30 working hours per week. Approximately 22.76% belonged to the `&gt;50K` category.</w:t>
      </w:r>
    </w:p>
    <w:p>
      <w:pPr>
        <w:spacing w:after="120"/>
      </w:pPr>
      <w:r>
        <w:t>This represents a difference of approximately 29.19 percentage points in the proportion of higher-income individuals between the two clusters.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68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cluster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6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PCA visualization of the K-Means clusters.</w:t>
      </w:r>
    </w:p>
    <w:p>
      <w:pPr>
        <w:pStyle w:val="Heading1"/>
      </w:pPr>
      <w:r>
        <w:t>6. Supervised Learning Model Comparison</w:t>
      </w:r>
    </w:p>
    <w:p>
      <w:pPr>
        <w:spacing w:after="120"/>
      </w:pPr>
      <w:r>
        <w:t>Multiple supervised-learning algorithms were evaluated during the project. Logistic Regression, Decision Tree, Random Forest, and Balanced Random Forest were compared with the final neural network.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Model</w:t>
            </w:r>
          </w:p>
        </w:tc>
        <w:tc>
          <w:tcPr>
            <w:tcW w:type="dxa" w:w="1656"/>
          </w:tcPr>
          <w:p>
            <w:r>
              <w:t>Accuracy</w:t>
            </w:r>
          </w:p>
        </w:tc>
        <w:tc>
          <w:tcPr>
            <w:tcW w:type="dxa" w:w="1656"/>
          </w:tcPr>
          <w:p>
            <w:r>
              <w:t>Precision</w:t>
            </w:r>
          </w:p>
        </w:tc>
        <w:tc>
          <w:tcPr>
            <w:tcW w:type="dxa" w:w="1656"/>
          </w:tcPr>
          <w:p>
            <w:r>
              <w:t>Recall</w:t>
            </w:r>
          </w:p>
        </w:tc>
        <w:tc>
          <w:tcPr>
            <w:tcW w:type="dxa" w:w="1656"/>
          </w:tcPr>
          <w:p>
            <w:r>
              <w:t>F1</w:t>
            </w:r>
          </w:p>
        </w:tc>
        <w:tc>
          <w:tcPr>
            <w:tcW w:type="dxa" w:w="1656"/>
          </w:tcPr>
          <w:p>
            <w:r>
              <w:t>ROC-AUC</w:t>
            </w:r>
          </w:p>
        </w:tc>
      </w:tr>
      <w:tr>
        <w:tc>
          <w:tcPr>
            <w:tcW w:type="dxa" w:w="1656"/>
          </w:tcPr>
          <w:p>
            <w:r>
              <w:t>Logistic Regression</w:t>
            </w:r>
          </w:p>
        </w:tc>
        <w:tc>
          <w:tcPr>
            <w:tcW w:type="dxa" w:w="1656"/>
          </w:tcPr>
          <w:p>
            <w:r>
              <w:t>85.79%</w:t>
            </w:r>
          </w:p>
        </w:tc>
        <w:tc>
          <w:tcPr>
            <w:tcW w:type="dxa" w:w="1656"/>
          </w:tcPr>
          <w:p>
            <w:r>
              <w:t>74.19%</w:t>
            </w:r>
          </w:p>
        </w:tc>
        <w:tc>
          <w:tcPr>
            <w:tcW w:type="dxa" w:w="1656"/>
          </w:tcPr>
          <w:p>
            <w:r>
              <w:t>62.88%</w:t>
            </w:r>
          </w:p>
        </w:tc>
        <w:tc>
          <w:tcPr>
            <w:tcW w:type="dxa" w:w="1656"/>
          </w:tcPr>
          <w:p>
            <w:r>
              <w:t>68.07%</w:t>
            </w:r>
          </w:p>
        </w:tc>
        <w:tc>
          <w:tcPr>
            <w:tcW w:type="dxa" w:w="1656"/>
          </w:tcPr>
          <w:p>
            <w:r>
              <w:t>91.47%</w:t>
            </w:r>
          </w:p>
        </w:tc>
      </w:tr>
      <w:tr>
        <w:tc>
          <w:tcPr>
            <w:tcW w:type="dxa" w:w="1656"/>
          </w:tcPr>
          <w:p>
            <w:r>
              <w:t>Decision Tree</w:t>
            </w:r>
          </w:p>
        </w:tc>
        <w:tc>
          <w:tcPr>
            <w:tcW w:type="dxa" w:w="1656"/>
          </w:tcPr>
          <w:p>
            <w:r>
              <w:t>86.60%</w:t>
            </w:r>
          </w:p>
        </w:tc>
        <w:tc>
          <w:tcPr>
            <w:tcW w:type="dxa" w:w="1656"/>
          </w:tcPr>
          <w:p>
            <w:r>
              <w:t>78.81%</w:t>
            </w:r>
          </w:p>
        </w:tc>
        <w:tc>
          <w:tcPr>
            <w:tcW w:type="dxa" w:w="1656"/>
          </w:tcPr>
          <w:p>
            <w:r>
              <w:t>60.71%</w:t>
            </w:r>
          </w:p>
        </w:tc>
        <w:tc>
          <w:tcPr>
            <w:tcW w:type="dxa" w:w="1656"/>
          </w:tcPr>
          <w:p>
            <w:r>
              <w:t>68.59%</w:t>
            </w:r>
          </w:p>
        </w:tc>
        <w:tc>
          <w:tcPr>
            <w:tcW w:type="dxa" w:w="1656"/>
          </w:tcPr>
          <w:p>
            <w:r>
              <w:t>90.60%</w:t>
            </w:r>
          </w:p>
        </w:tc>
      </w:tr>
      <w:tr>
        <w:tc>
          <w:tcPr>
            <w:tcW w:type="dxa" w:w="1656"/>
          </w:tcPr>
          <w:p>
            <w:r>
              <w:t>Random Forest</w:t>
            </w:r>
          </w:p>
        </w:tc>
        <w:tc>
          <w:tcPr>
            <w:tcW w:type="dxa" w:w="1656"/>
          </w:tcPr>
          <w:p>
            <w:r>
              <w:t>87.11%</w:t>
            </w:r>
          </w:p>
        </w:tc>
        <w:tc>
          <w:tcPr>
            <w:tcW w:type="dxa" w:w="1656"/>
          </w:tcPr>
          <w:p>
            <w:r>
              <w:t>82.17%</w:t>
            </w:r>
          </w:p>
        </w:tc>
        <w:tc>
          <w:tcPr>
            <w:tcW w:type="dxa" w:w="1656"/>
          </w:tcPr>
          <w:p>
            <w:r>
              <w:t>59.38%</w:t>
            </w:r>
          </w:p>
        </w:tc>
        <w:tc>
          <w:tcPr>
            <w:tcW w:type="dxa" w:w="1656"/>
          </w:tcPr>
          <w:p>
            <w:r>
              <w:t>68.94%</w:t>
            </w:r>
          </w:p>
        </w:tc>
        <w:tc>
          <w:tcPr>
            <w:tcW w:type="dxa" w:w="1656"/>
          </w:tcPr>
          <w:p>
            <w:r>
              <w:t>92.30%</w:t>
            </w:r>
          </w:p>
        </w:tc>
      </w:tr>
      <w:tr>
        <w:tc>
          <w:tcPr>
            <w:tcW w:type="dxa" w:w="1656"/>
          </w:tcPr>
          <w:p>
            <w:r>
              <w:t>Balanced Random Forest</w:t>
            </w:r>
          </w:p>
        </w:tc>
        <w:tc>
          <w:tcPr>
            <w:tcW w:type="dxa" w:w="1656"/>
          </w:tcPr>
          <w:p>
            <w:r>
              <w:t>81.78%</w:t>
            </w:r>
          </w:p>
        </w:tc>
        <w:tc>
          <w:tcPr>
            <w:tcW w:type="dxa" w:w="1656"/>
          </w:tcPr>
          <w:p>
            <w:r>
              <w:t>58.08%</w:t>
            </w:r>
          </w:p>
        </w:tc>
        <w:tc>
          <w:tcPr>
            <w:tcW w:type="dxa" w:w="1656"/>
          </w:tcPr>
          <w:p>
            <w:r>
              <w:t>87.56%</w:t>
            </w:r>
          </w:p>
        </w:tc>
        <w:tc>
          <w:tcPr>
            <w:tcW w:type="dxa" w:w="1656"/>
          </w:tcPr>
          <w:p>
            <w:r>
              <w:t>69.84%</w:t>
            </w:r>
          </w:p>
        </w:tc>
        <w:tc>
          <w:tcPr>
            <w:tcW w:type="dxa" w:w="1656"/>
          </w:tcPr>
          <w:p>
            <w:r>
              <w:t>92.33%</w:t>
            </w:r>
          </w:p>
        </w:tc>
      </w:tr>
      <w:tr>
        <w:tc>
          <w:tcPr>
            <w:tcW w:type="dxa" w:w="1656"/>
          </w:tcPr>
          <w:p>
            <w:r>
              <w:t>Neural Network</w:t>
            </w:r>
          </w:p>
        </w:tc>
        <w:tc>
          <w:tcPr>
            <w:tcW w:type="dxa" w:w="1656"/>
          </w:tcPr>
          <w:p>
            <w:r>
              <w:t>83.06%</w:t>
            </w:r>
          </w:p>
        </w:tc>
        <w:tc>
          <w:tcPr>
            <w:tcW w:type="dxa" w:w="1656"/>
          </w:tcPr>
          <w:p>
            <w:r>
              <w:t>60.49%</w:t>
            </w:r>
          </w:p>
        </w:tc>
        <w:tc>
          <w:tcPr>
            <w:tcW w:type="dxa" w:w="1656"/>
          </w:tcPr>
          <w:p>
            <w:r>
              <w:t>85.54%</w:t>
            </w:r>
          </w:p>
        </w:tc>
        <w:tc>
          <w:tcPr>
            <w:tcW w:type="dxa" w:w="1656"/>
          </w:tcPr>
          <w:p>
            <w:r>
              <w:t>70.87%</w:t>
            </w:r>
          </w:p>
        </w:tc>
        <w:tc>
          <w:tcPr>
            <w:tcW w:type="dxa" w:w="1656"/>
          </w:tcPr>
          <w:p>
            <w:r>
              <w:t>91.90%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7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Comparison of predictive-model performance.</w:t>
      </w:r>
    </w:p>
    <w:p>
      <w:pPr>
        <w:spacing w:after="120"/>
      </w:pPr>
      <w:r>
        <w:t>Random Forest achieved the highest accuracy at 87.11% and the highest precision at 82.17%. Balanced Random Forest achieved the highest recall among the traditional and neural models at 87.56% and the highest ROC-AUC at 92.33%.</w:t>
      </w:r>
    </w:p>
    <w:p>
      <w:pPr>
        <w:spacing w:after="120"/>
      </w:pPr>
      <w:r>
        <w:t>The neural network achieved the highest F1-score in the comparison at 70.87%, while maintaining a strong recall of 85.54%.</w:t>
      </w:r>
    </w:p>
    <w:p>
      <w:pPr>
        <w:pStyle w:val="Heading1"/>
      </w:pPr>
      <w:r>
        <w:t>7. Deep Learning Model</w:t>
      </w:r>
    </w:p>
    <w:p>
      <w:pPr>
        <w:spacing w:after="120"/>
      </w:pPr>
      <w:r>
        <w:t>The final deep-learning model is a feed-forward neural network implemented using TensorFlow and Keras.</w:t>
      </w:r>
    </w:p>
    <w:p>
      <w:pPr>
        <w:pStyle w:val="Heading2"/>
      </w:pPr>
      <w:r>
        <w:t>Architecture</w:t>
      </w:r>
    </w:p>
    <w:p>
      <w:pPr>
        <w:spacing w:after="120"/>
      </w:pPr>
      <w:r>
        <w:t>The network contains an input layer followed by two fully connected hidden layers. The first hidden layer contains 64 neurons with ReLU activation, followed by 30% dropout. The second hidden layer contains 32 neurons with ReLU activation, followed by 20% dropout. A single sigmoid output neuron performs the binary classification.</w:t>
      </w:r>
    </w:p>
    <w:p>
      <w:pPr>
        <w:spacing w:after="120"/>
      </w:pPr>
      <w:r>
        <w:t>Dropout was included to reduce overfitting. The Adam optimizer was used with a learning rate of 0.001, while binary cross-entropy was used as the loss function.</w:t>
      </w:r>
    </w:p>
    <w:p>
      <w:pPr>
        <w:spacing w:after="120"/>
      </w:pPr>
      <w:r>
        <w:t>Class weights were applied because the `&gt;50K` class is the minority class. Early stopping was also used to prevent unnecessary training after validation performance stopped improving.</w:t>
      </w:r>
    </w:p>
    <w:p>
      <w:pPr>
        <w:pStyle w:val="Heading1"/>
      </w:pPr>
      <w:r>
        <w:t>8. Final Neural Network Evaluation</w:t>
      </w:r>
    </w:p>
    <w:p>
      <w:pPr>
        <w:spacing w:after="120"/>
      </w:pPr>
      <w:r>
        <w:t>The final Week 6 neural network was evaluated on 4,881 previously unseen test observations.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83.06%</w:t>
            </w:r>
          </w:p>
        </w:tc>
      </w:tr>
      <w:tr>
        <w:tc>
          <w:tcPr>
            <w:tcW w:type="dxa" w:w="4968"/>
          </w:tcPr>
          <w:p>
            <w:r>
              <w:t>Precision</w:t>
            </w:r>
          </w:p>
        </w:tc>
        <w:tc>
          <w:tcPr>
            <w:tcW w:type="dxa" w:w="4968"/>
          </w:tcPr>
          <w:p>
            <w:r>
              <w:t>60.49%</w:t>
            </w:r>
          </w:p>
        </w:tc>
      </w:tr>
      <w:tr>
        <w:tc>
          <w:tcPr>
            <w:tcW w:type="dxa" w:w="4968"/>
          </w:tcPr>
          <w:p>
            <w:r>
              <w:t>Recall</w:t>
            </w:r>
          </w:p>
        </w:tc>
        <w:tc>
          <w:tcPr>
            <w:tcW w:type="dxa" w:w="4968"/>
          </w:tcPr>
          <w:p>
            <w:r>
              <w:t>85.54%</w:t>
            </w:r>
          </w:p>
        </w:tc>
      </w:tr>
      <w:tr>
        <w:tc>
          <w:tcPr>
            <w:tcW w:type="dxa" w:w="4968"/>
          </w:tcPr>
          <w:p>
            <w:r>
              <w:t>F1-score</w:t>
            </w:r>
          </w:p>
        </w:tc>
        <w:tc>
          <w:tcPr>
            <w:tcW w:type="dxa" w:w="4968"/>
          </w:tcPr>
          <w:p>
            <w:r>
              <w:t>70.87%</w:t>
            </w:r>
          </w:p>
        </w:tc>
      </w:tr>
      <w:tr>
        <w:tc>
          <w:tcPr>
            <w:tcW w:type="dxa" w:w="4968"/>
          </w:tcPr>
          <w:p>
            <w:r>
              <w:t>ROC-AUC</w:t>
            </w:r>
          </w:p>
        </w:tc>
        <w:tc>
          <w:tcPr>
            <w:tcW w:type="dxa" w:w="4968"/>
          </w:tcPr>
          <w:p>
            <w:r>
              <w:t>91.90%</w:t>
            </w:r>
          </w:p>
        </w:tc>
      </w:tr>
    </w:tbl>
    <w:p/>
    <w:p>
      <w:pPr>
        <w:pStyle w:val="Heading2"/>
      </w:pPr>
      <w:r>
        <w:t>8.1 Confusion Matrix</w:t>
      </w:r>
    </w:p>
    <w:p>
      <w:pPr>
        <w:spacing w:after="120"/>
      </w:pPr>
      <w:r>
        <w:t>The confusion matrix provides a detailed breakdown of the model's predictions.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Predicted &lt;=50K</w:t>
            </w:r>
          </w:p>
        </w:tc>
        <w:tc>
          <w:tcPr>
            <w:tcW w:type="dxa" w:w="3312"/>
          </w:tcPr>
          <w:p>
            <w:r>
              <w:t>Predicted &gt;50K</w:t>
            </w:r>
          </w:p>
        </w:tc>
      </w:tr>
      <w:tr>
        <w:tc>
          <w:tcPr>
            <w:tcW w:type="dxa" w:w="3312"/>
          </w:tcPr>
          <w:p>
            <w:r>
              <w:t>Actual &lt;=50K</w:t>
            </w:r>
          </w:p>
        </w:tc>
        <w:tc>
          <w:tcPr>
            <w:tcW w:type="dxa" w:w="3312"/>
          </w:tcPr>
          <w:p>
            <w:r>
              <w:t>3,048</w:t>
            </w:r>
          </w:p>
        </w:tc>
        <w:tc>
          <w:tcPr>
            <w:tcW w:type="dxa" w:w="3312"/>
          </w:tcPr>
          <w:p>
            <w:r>
              <w:t>657</w:t>
            </w:r>
          </w:p>
        </w:tc>
      </w:tr>
      <w:tr>
        <w:tc>
          <w:tcPr>
            <w:tcW w:type="dxa" w:w="3312"/>
          </w:tcPr>
          <w:p>
            <w:r>
              <w:t>Actual &gt;50K</w:t>
            </w:r>
          </w:p>
        </w:tc>
        <w:tc>
          <w:tcPr>
            <w:tcW w:type="dxa" w:w="3312"/>
          </w:tcPr>
          <w:p>
            <w:r>
              <w:t>170</w:t>
            </w:r>
          </w:p>
        </w:tc>
        <w:tc>
          <w:tcPr>
            <w:tcW w:type="dxa" w:w="3312"/>
          </w:tcPr>
          <w:p>
            <w:r>
              <w:t>1,006</w:t>
            </w:r>
          </w:p>
        </w:tc>
      </w:tr>
    </w:tbl>
    <w:p/>
    <w:p>
      <w:pPr>
        <w:spacing w:after="120"/>
      </w:pPr>
      <w:r>
        <w:t>The model correctly classified 3,048 observations in the &lt;=50K category and 1,006 observations in the &gt;50K category. It produced 657 false positives and 170 false negatives.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26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Confusion matrix for the final neural network.</w:t>
      </w:r>
    </w:p>
    <w:p>
      <w:pPr>
        <w:pStyle w:val="Heading2"/>
      </w:pPr>
      <w:r>
        <w:t>8.2 ROC Curve</w:t>
      </w:r>
    </w:p>
    <w:p>
      <w:pPr>
        <w:spacing w:after="120"/>
      </w:pPr>
      <w:r>
        <w:t>The final neural network achieved a ROC-AUC of 91.90%, indicating strong discrimination between the two income categories across different classification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9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roc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ROC curve for the final neural network.</w:t>
      </w:r>
    </w:p>
    <w:p>
      <w:pPr>
        <w:pStyle w:val="Heading1"/>
      </w:pPr>
      <w:r>
        <w:t>9. Error Analysis</w:t>
      </w:r>
    </w:p>
    <w:p>
      <w:pPr>
        <w:spacing w:after="120"/>
      </w:pPr>
      <w:r>
        <w:t>Error analysis was performed to understand the characteristics of correctly and incorrectly classified observations.</w:t>
      </w:r>
    </w:p>
    <w:p>
      <w:pPr>
        <w:spacing w:after="120"/>
      </w:pPr>
      <w:r>
        <w:t>The analysis compares numerical characteristics including age, education number, working hours, capital gain, capital loss, total capital, and the work-hours-to-age ratio.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95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error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Comparison of feature characteristics for correct and incorrect predictions.</w:t>
      </w:r>
    </w:p>
    <w:p>
      <w:pPr>
        <w:spacing w:after="120"/>
      </w:pPr>
      <w:r>
        <w:t>The results indicate that classification errors can occur when individuals have characteristics that overlap between the two income categories. This demonstrates why income classification cannot be reliably determined using a single variable.</w:t>
      </w:r>
    </w:p>
    <w:p>
      <w:pPr>
        <w:pStyle w:val="Heading1"/>
      </w:pPr>
      <w:r>
        <w:t>10. Key Findings</w:t>
      </w:r>
    </w:p>
    <w:p>
      <w:pPr>
        <w:pStyle w:val="ListBullet"/>
      </w:pPr>
      <w:r>
        <w:t>The dataset contains 32,537 observations with a substantial imbalance between the two income classes.</w:t>
      </w:r>
    </w:p>
    <w:p>
      <w:pPr>
        <w:pStyle w:val="ListBullet"/>
      </w:pPr>
      <w:r>
        <w:t>Education, age, working hours, and financial variables provide useful information for distinguishing income categories.</w:t>
      </w:r>
    </w:p>
    <w:p>
      <w:pPr>
        <w:pStyle w:val="ListBullet"/>
      </w:pPr>
      <w:r>
        <w:t>K-Means clustering identified two groups with substantially different characteristics and higher-income proportions.</w:t>
      </w:r>
    </w:p>
    <w:p>
      <w:pPr>
        <w:pStyle w:val="ListBullet"/>
      </w:pPr>
      <w:r>
        <w:t>Random Forest achieved the highest overall accuracy at 87.11%.</w:t>
      </w:r>
    </w:p>
    <w:p>
      <w:pPr>
        <w:pStyle w:val="ListBullet"/>
      </w:pPr>
      <w:r>
        <w:t>Balanced Random Forest achieved the highest recall among the traditional models at 87.56%.</w:t>
      </w:r>
    </w:p>
    <w:p>
      <w:pPr>
        <w:pStyle w:val="ListBullet"/>
      </w:pPr>
      <w:r>
        <w:t>The final neural network achieved 83.06% accuracy, 60.49% precision, 85.54% recall, 70.87% F1-score, and 91.90% ROC-AUC.</w:t>
      </w:r>
    </w:p>
    <w:p>
      <w:pPr>
        <w:pStyle w:val="ListBullet"/>
      </w:pPr>
      <w:r>
        <w:t>The neural network achieved strong minority-class detection but did not outperform Random Forest in overall accuracy.</w:t>
      </w:r>
    </w:p>
    <w:p>
      <w:pPr>
        <w:pStyle w:val="ListBullet"/>
      </w:pPr>
      <w:r>
        <w:t>Model selection should depend on whether the application prioritizes accuracy, precision, recall, or balanced performance.</w:t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Use Random Forest when overall prediction accuracy and precision are the primary objectives.</w:t>
      </w:r>
    </w:p>
    <w:p>
      <w:pPr>
        <w:pStyle w:val="ListNumber"/>
      </w:pPr>
      <w:r>
        <w:t>Consider Balanced Random Forest or the neural network when identifying as many &gt;50K individuals as possible is more important.</w:t>
      </w:r>
    </w:p>
    <w:p>
      <w:pPr>
        <w:pStyle w:val="ListNumber"/>
      </w:pPr>
      <w:r>
        <w:t>Evaluate models using precision, recall, F1-score, ROC-AUC, and confusion matrices rather than accuracy alone.</w:t>
      </w:r>
    </w:p>
    <w:p>
      <w:pPr>
        <w:pStyle w:val="ListNumber"/>
      </w:pPr>
      <w:r>
        <w:t>Retain education, age, employment, and financial variables because income classification depends on multiple characteristics.</w:t>
      </w:r>
    </w:p>
    <w:p>
      <w:pPr>
        <w:pStyle w:val="ListNumber"/>
      </w:pPr>
      <w:r>
        <w:t>Tune the neural-network classification threshold in future work if a different precision-recall trade-off is required.</w:t>
      </w:r>
    </w:p>
    <w:p>
      <w:pPr>
        <w:pStyle w:val="ListNumber"/>
      </w:pPr>
      <w:r>
        <w:t>Use model-explainability methods such as SHAP in future versions to improve interpretation of individual predictions.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The Adult Income dataset is a historical benchmark dataset and may not represent current economic conditions.</w:t>
      </w:r>
    </w:p>
    <w:p>
      <w:pPr>
        <w:pStyle w:val="ListBullet"/>
      </w:pPr>
      <w:r>
        <w:t>The target classes are imbalanced, which makes minority-class prediction more challenging.</w:t>
      </w:r>
    </w:p>
    <w:p>
      <w:pPr>
        <w:pStyle w:val="ListBullet"/>
      </w:pPr>
      <w:r>
        <w:t>The neural network does not automatically outperform traditional ensemble methods on this tabular dataset.</w:t>
      </w:r>
    </w:p>
    <w:p>
      <w:pPr>
        <w:pStyle w:val="ListBullet"/>
      </w:pPr>
      <w:r>
        <w:t>Deep-learning experiments were performed in a local development environment with a relatively compact architecture.</w:t>
      </w:r>
    </w:p>
    <w:p>
      <w:pPr>
        <w:pStyle w:val="ListBullet"/>
      </w:pPr>
      <w:r>
        <w:t>Neural-network predictions are less directly interpretable than simpler statistical models.</w:t>
      </w:r>
    </w:p>
    <w:p>
      <w:pPr>
        <w:pStyle w:val="ListBullet"/>
      </w:pPr>
      <w:r>
        <w:t>The evaluation is based on a single held-out test set and would benefit from external validation in a real-world application.</w:t>
      </w:r>
    </w:p>
    <w:p>
      <w:pPr>
        <w:pStyle w:val="Heading1"/>
      </w:pPr>
      <w:r>
        <w:t>13. Future Improvements</w:t>
      </w:r>
    </w:p>
    <w:p>
      <w:pPr>
        <w:pStyle w:val="ListBullet"/>
      </w:pPr>
      <w:r>
        <w:t>Perform systematic hyperparameter optimization for the neural network.</w:t>
      </w:r>
    </w:p>
    <w:p>
      <w:pPr>
        <w:pStyle w:val="ListBullet"/>
      </w:pPr>
      <w:r>
        <w:t>Experiment with additional architectures and regularization methods.</w:t>
      </w:r>
    </w:p>
    <w:p>
      <w:pPr>
        <w:pStyle w:val="ListBullet"/>
      </w:pPr>
      <w:r>
        <w:t>Investigate threshold optimization to improve the precision-recall trade-off.</w:t>
      </w:r>
    </w:p>
    <w:p>
      <w:pPr>
        <w:pStyle w:val="ListBullet"/>
      </w:pPr>
      <w:r>
        <w:t>Apply SHAP or other explainability methods to understand individual predictions.</w:t>
      </w:r>
    </w:p>
    <w:p>
      <w:pPr>
        <w:pStyle w:val="ListBullet"/>
      </w:pPr>
      <w:r>
        <w:t>Evaluate the models using external or more recent income datasets.</w:t>
      </w:r>
    </w:p>
    <w:p>
      <w:pPr>
        <w:pStyle w:val="ListBullet"/>
      </w:pPr>
      <w:r>
        <w:t>Develop a deployment interface where users can enter feature values and receive an income-category prediction.</w:t>
      </w:r>
    </w:p>
    <w:p>
      <w:pPr>
        <w:pStyle w:val="Heading1"/>
      </w:pPr>
      <w:r>
        <w:t>14. Final Conclusion</w:t>
      </w:r>
    </w:p>
    <w:p>
      <w:pPr>
        <w:spacing w:after="120"/>
      </w:pPr>
      <w:r>
        <w:t>This six-week internship project successfully developed an end-to-end data science pipeline for analyzing and predicting Adult Income categories.</w:t>
      </w:r>
    </w:p>
    <w:p>
      <w:pPr>
        <w:spacing w:after="120"/>
      </w:pPr>
      <w:r>
        <w:t>The project progressed from data cleaning and exploratory analysis to unsupervised learning, supervised machine learning, and deep learning. This progression provided practical experience across the major stages of a modern data science workflow.</w:t>
      </w:r>
    </w:p>
    <w:p>
      <w:pPr>
        <w:spacing w:after="120"/>
      </w:pPr>
      <w:r>
        <w:t>The exploratory analysis identified meaningful relationships between income and variables such as education, age, working hours, and financial characteristics. K-Means clustering provided an additional perspective by identifying population groups with different income distributions.</w:t>
      </w:r>
    </w:p>
    <w:p>
      <w:pPr>
        <w:spacing w:after="120"/>
      </w:pPr>
      <w:r>
        <w:t>The supervised-learning comparison demonstrated that Random Forest provided the strongest overall accuracy and precision, while Balanced Random Forest and the neural network provided stronger recall for the minority income class.</w:t>
      </w:r>
    </w:p>
    <w:p>
      <w:pPr>
        <w:spacing w:after="120"/>
      </w:pPr>
      <w:r>
        <w:t>The final neural network achieved 83.06% accuracy, 60.49% precision, 85.54% recall, 70.87% F1-score, and 91.90% ROC-AUC. Its performance demonstrates that deep learning can effectively learn useful patterns from tabular data, although a traditional ensemble model remained stronger for overall accuracy.</w:t>
      </w:r>
    </w:p>
    <w:p>
      <w:pPr>
        <w:spacing w:after="120"/>
      </w:pPr>
      <w:r>
        <w:t>Overall, the capstone demonstrates the ability to independently design and execute a complete Python-based data science project, evaluate alternative analytical approaches, interpret model behavior, and translate quantitative results into practical recommendations.</w:t>
      </w:r>
    </w:p>
    <w:p>
      <w:pPr>
        <w:pStyle w:val="Heading1"/>
      </w:pPr>
      <w:r>
        <w:t>15. Project Deliverables</w:t>
      </w:r>
    </w:p>
    <w:p>
      <w:pPr>
        <w:pStyle w:val="ListBullet"/>
      </w:pPr>
      <w:r>
        <w:t>Week 1 — Data exploration and cleaning</w:t>
      </w:r>
    </w:p>
    <w:p>
      <w:pPr>
        <w:pStyle w:val="ListBullet"/>
      </w:pPr>
      <w:r>
        <w:t>Week 2 — Exploratory data analysis and visualization</w:t>
      </w:r>
    </w:p>
    <w:p>
      <w:pPr>
        <w:pStyle w:val="ListBullet"/>
      </w:pPr>
      <w:r>
        <w:t>Week 3 — K-Means clustering and PCA</w:t>
      </w:r>
    </w:p>
    <w:p>
      <w:pPr>
        <w:pStyle w:val="ListBullet"/>
      </w:pPr>
      <w:r>
        <w:t>Week 4 — Supervised machine learning</w:t>
      </w:r>
    </w:p>
    <w:p>
      <w:pPr>
        <w:pStyle w:val="ListBullet"/>
      </w:pPr>
      <w:r>
        <w:t>Week 5 — Deep learning application</w:t>
      </w:r>
    </w:p>
    <w:p>
      <w:pPr>
        <w:pStyle w:val="ListBullet"/>
      </w:pPr>
      <w:r>
        <w:t>Week 6 — Integrative capstone and evaluation</w:t>
      </w:r>
    </w:p>
    <w:p>
      <w:pPr>
        <w:spacing w:after="120"/>
      </w:pPr>
      <w:r>
        <w:t>GitHub Repository: https://github.com/bhargav55678/adult-income-data-cleaning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