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5A75"/>
          <w:sz w:val="66"/>
        </w:rPr>
        <w:t>NEXALERT</w:t>
      </w:r>
    </w:p>
    <w:p>
      <w:pPr>
        <w:jc w:val="center"/>
      </w:pPr>
      <w:r>
        <w:rPr>
          <w:b/>
          <w:color w:val="111827"/>
          <w:sz w:val="38"/>
        </w:rPr>
        <w:t>FIRE SPREAD, GEOSPATIAL SIMULATION, AFFECTED AREA &amp; RISK/HEATMAP</w:t>
      </w:r>
    </w:p>
    <w:p>
      <w:pPr>
        <w:jc w:val="center"/>
      </w:pPr>
      <w:r>
        <w:rPr>
          <w:color w:val="6B7280"/>
          <w:sz w:val="21"/>
        </w:rPr>
        <w:t>Final V1 Engineering Specification — Physical Model, Geometry, Risk &amp; Visualization Contract</w:t>
      </w:r>
    </w:p>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Document role</w:t>
              <w:br/>
            </w:r>
            <w:r>
              <w:rPr>
                <w:sz w:val="17"/>
              </w:rPr>
              <w:t>This is the definitive V1 engineering specification for NexAlert's fire-spread and geospatial chain. It specifies how ignition becomes a spatially evolving arrival-time field, how the field becomes current/warning/projected geometry, how physical footprint is separated from policy safety buffers, how the hazard risk surface is computed, and how all geospatial outputs are validated and exposed to downstream systems.</w:t>
            </w:r>
          </w:p>
        </w:tc>
      </w:tr>
    </w:tbl>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Field</w:t>
            </w:r>
          </w:p>
        </w:tc>
        <w:tc>
          <w:tcPr>
            <w:tcW w:type="dxa" w:w="5112"/>
            <w:vAlign w:val="center"/>
            <w:shd w:fill="0B5A75"/>
          </w:tcPr>
          <w:p>
            <w:pPr>
              <w:spacing w:after="0"/>
            </w:pPr>
            <w:r/>
            <w:r>
              <w:rPr>
                <w:rFonts w:ascii="Aptos" w:hAnsi="Aptos"/>
                <w:b/>
                <w:color w:val="FFFFFF"/>
                <w:sz w:val="15"/>
              </w:rPr>
              <w:t>Value</w:t>
            </w:r>
          </w:p>
        </w:tc>
      </w:tr>
      <w:tr>
        <w:tc>
          <w:tcPr>
            <w:tcW w:type="dxa" w:w="5112"/>
            <w:vAlign w:val="center"/>
          </w:tcPr>
          <w:p>
            <w:pPr>
              <w:spacing w:after="0"/>
            </w:pPr>
            <w:r/>
            <w:r>
              <w:rPr>
                <w:rFonts w:ascii="Aptos" w:hAnsi="Aptos"/>
                <w:b w:val="0"/>
                <w:color w:val="111827"/>
                <w:sz w:val="15"/>
              </w:rPr>
              <w:t>Product</w:t>
            </w:r>
          </w:p>
        </w:tc>
        <w:tc>
          <w:tcPr>
            <w:tcW w:type="dxa" w:w="5112"/>
            <w:vAlign w:val="center"/>
          </w:tcPr>
          <w:p>
            <w:pPr>
              <w:spacing w:after="0"/>
            </w:pPr>
            <w:r/>
            <w:r>
              <w:rPr>
                <w:rFonts w:ascii="Aptos" w:hAnsi="Aptos"/>
                <w:b w:val="0"/>
                <w:color w:val="111827"/>
                <w:sz w:val="15"/>
              </w:rPr>
              <w:t>NexAlert</w:t>
            </w:r>
          </w:p>
        </w:tc>
      </w:tr>
      <w:tr>
        <w:tc>
          <w:tcPr>
            <w:tcW w:type="dxa" w:w="5112"/>
            <w:vAlign w:val="center"/>
            <w:shd w:fill="F3F4F6"/>
          </w:tcPr>
          <w:p>
            <w:pPr>
              <w:spacing w:after="0"/>
            </w:pPr>
            <w:r/>
            <w:r>
              <w:rPr>
                <w:rFonts w:ascii="Aptos" w:hAnsi="Aptos"/>
                <w:b w:val="0"/>
                <w:color w:val="111827"/>
                <w:sz w:val="15"/>
              </w:rPr>
              <w:t>Problem</w:t>
            </w:r>
          </w:p>
        </w:tc>
        <w:tc>
          <w:tcPr>
            <w:tcW w:type="dxa" w:w="5112"/>
            <w:vAlign w:val="center"/>
            <w:shd w:fill="F3F4F6"/>
          </w:tcPr>
          <w:p>
            <w:pPr>
              <w:spacing w:after="0"/>
            </w:pPr>
            <w:r/>
            <w:r>
              <w:rPr>
                <w:rFonts w:ascii="Aptos" w:hAnsi="Aptos"/>
                <w:b w:val="0"/>
                <w:color w:val="111827"/>
                <w:sz w:val="15"/>
              </w:rPr>
              <w:t>SIH26178 — resilient AI-powered environmental monitoring and early warning</w:t>
            </w:r>
          </w:p>
        </w:tc>
      </w:tr>
      <w:tr>
        <w:tc>
          <w:tcPr>
            <w:tcW w:type="dxa" w:w="5112"/>
            <w:vAlign w:val="center"/>
          </w:tcPr>
          <w:p>
            <w:pPr>
              <w:spacing w:after="0"/>
            </w:pPr>
            <w:r/>
            <w:r>
              <w:rPr>
                <w:rFonts w:ascii="Aptos" w:hAnsi="Aptos"/>
                <w:b w:val="0"/>
                <w:color w:val="111827"/>
                <w:sz w:val="15"/>
              </w:rPr>
              <w:t>Document</w:t>
            </w:r>
          </w:p>
        </w:tc>
        <w:tc>
          <w:tcPr>
            <w:tcW w:type="dxa" w:w="5112"/>
            <w:vAlign w:val="center"/>
          </w:tcPr>
          <w:p>
            <w:pPr>
              <w:spacing w:after="0"/>
            </w:pPr>
            <w:r/>
            <w:r>
              <w:rPr>
                <w:rFonts w:ascii="Aptos" w:hAnsi="Aptos"/>
                <w:b w:val="0"/>
                <w:color w:val="111827"/>
                <w:sz w:val="15"/>
              </w:rPr>
              <w:t>05 — Fire Spread, Geospatial Simulation, Affected Area &amp; Risk/Heatmap</w:t>
            </w:r>
          </w:p>
        </w:tc>
      </w:tr>
      <w:tr>
        <w:tc>
          <w:tcPr>
            <w:tcW w:type="dxa" w:w="5112"/>
            <w:vAlign w:val="center"/>
            <w:shd w:fill="F3F4F6"/>
          </w:tcPr>
          <w:p>
            <w:pPr>
              <w:spacing w:after="0"/>
            </w:pPr>
            <w:r/>
            <w:r>
              <w:rPr>
                <w:rFonts w:ascii="Aptos" w:hAnsi="Aptos"/>
                <w:b w:val="0"/>
                <w:color w:val="111827"/>
                <w:sz w:val="15"/>
              </w:rPr>
              <w:t>Status</w:t>
            </w:r>
          </w:p>
        </w:tc>
        <w:tc>
          <w:tcPr>
            <w:tcW w:type="dxa" w:w="5112"/>
            <w:vAlign w:val="center"/>
            <w:shd w:fill="F3F4F6"/>
          </w:tcPr>
          <w:p>
            <w:pPr>
              <w:spacing w:after="0"/>
            </w:pPr>
            <w:r/>
            <w:r>
              <w:rPr>
                <w:rFonts w:ascii="Aptos" w:hAnsi="Aptos"/>
                <w:b w:val="0"/>
                <w:color w:val="111827"/>
                <w:sz w:val="15"/>
              </w:rPr>
              <w:t>FINAL V1 IMPLEMENTATION BASELINE</w:t>
            </w:r>
          </w:p>
        </w:tc>
      </w:tr>
      <w:tr>
        <w:tc>
          <w:tcPr>
            <w:tcW w:type="dxa" w:w="5112"/>
            <w:vAlign w:val="center"/>
          </w:tcPr>
          <w:p>
            <w:pPr>
              <w:spacing w:after="0"/>
            </w:pPr>
            <w:r/>
            <w:r>
              <w:rPr>
                <w:rFonts w:ascii="Aptos" w:hAnsi="Aptos"/>
                <w:b w:val="0"/>
                <w:color w:val="111827"/>
                <w:sz w:val="15"/>
              </w:rPr>
              <w:t>Hero hazard</w:t>
            </w:r>
          </w:p>
        </w:tc>
        <w:tc>
          <w:tcPr>
            <w:tcW w:type="dxa" w:w="5112"/>
            <w:vAlign w:val="center"/>
          </w:tcPr>
          <w:p>
            <w:pPr>
              <w:spacing w:after="0"/>
            </w:pPr>
            <w:r/>
            <w:r>
              <w:rPr>
                <w:rFonts w:ascii="Aptos" w:hAnsi="Aptos"/>
                <w:b w:val="0"/>
                <w:color w:val="111827"/>
                <w:sz w:val="15"/>
              </w:rPr>
              <w:t>Forest fire</w:t>
            </w:r>
          </w:p>
        </w:tc>
      </w:tr>
      <w:tr>
        <w:tc>
          <w:tcPr>
            <w:tcW w:type="dxa" w:w="5112"/>
            <w:vAlign w:val="center"/>
            <w:shd w:fill="F3F4F6"/>
          </w:tcPr>
          <w:p>
            <w:pPr>
              <w:spacing w:after="0"/>
            </w:pPr>
            <w:r/>
            <w:r>
              <w:rPr>
                <w:rFonts w:ascii="Aptos" w:hAnsi="Aptos"/>
                <w:b w:val="0"/>
                <w:color w:val="111827"/>
                <w:sz w:val="15"/>
              </w:rPr>
              <w:t>Primary compute</w:t>
            </w:r>
          </w:p>
        </w:tc>
        <w:tc>
          <w:tcPr>
            <w:tcW w:type="dxa" w:w="5112"/>
            <w:vAlign w:val="center"/>
            <w:shd w:fill="F3F4F6"/>
          </w:tcPr>
          <w:p>
            <w:pPr>
              <w:spacing w:after="0"/>
            </w:pPr>
            <w:r/>
            <w:r>
              <w:rPr>
                <w:rFonts w:ascii="Aptos" w:hAnsi="Aptos"/>
                <w:b w:val="0"/>
                <w:color w:val="111827"/>
                <w:sz w:val="15"/>
              </w:rPr>
              <w:t>Raspberry Pi Master and/or cloud/backend</w:t>
            </w:r>
          </w:p>
        </w:tc>
      </w:tr>
      <w:tr>
        <w:tc>
          <w:tcPr>
            <w:tcW w:type="dxa" w:w="5112"/>
            <w:vAlign w:val="center"/>
          </w:tcPr>
          <w:p>
            <w:pPr>
              <w:spacing w:after="0"/>
            </w:pPr>
            <w:r/>
            <w:r>
              <w:rPr>
                <w:rFonts w:ascii="Aptos" w:hAnsi="Aptos"/>
                <w:b w:val="0"/>
                <w:color w:val="111827"/>
                <w:sz w:val="15"/>
              </w:rPr>
              <w:t>Edge restriction</w:t>
            </w:r>
          </w:p>
        </w:tc>
        <w:tc>
          <w:tcPr>
            <w:tcW w:type="dxa" w:w="5112"/>
            <w:vAlign w:val="center"/>
          </w:tcPr>
          <w:p>
            <w:pPr>
              <w:spacing w:after="0"/>
            </w:pPr>
            <w:r/>
            <w:r>
              <w:rPr>
                <w:rFonts w:ascii="Aptos" w:hAnsi="Aptos"/>
                <w:b w:val="0"/>
                <w:color w:val="111827"/>
                <w:sz w:val="15"/>
              </w:rPr>
              <w:t>Heavy raster/geospatial fire simulation MUST NOT run on ESP32</w:t>
            </w:r>
          </w:p>
        </w:tc>
      </w:tr>
      <w:tr>
        <w:tc>
          <w:tcPr>
            <w:tcW w:type="dxa" w:w="5112"/>
            <w:vAlign w:val="center"/>
            <w:shd w:fill="F3F4F6"/>
          </w:tcPr>
          <w:p>
            <w:pPr>
              <w:spacing w:after="0"/>
            </w:pPr>
            <w:r/>
            <w:r>
              <w:rPr>
                <w:rFonts w:ascii="Aptos" w:hAnsi="Aptos"/>
                <w:b w:val="0"/>
                <w:color w:val="111827"/>
                <w:sz w:val="15"/>
              </w:rPr>
              <w:t>Model family</w:t>
            </w:r>
          </w:p>
        </w:tc>
        <w:tc>
          <w:tcPr>
            <w:tcW w:type="dxa" w:w="5112"/>
            <w:vAlign w:val="center"/>
            <w:shd w:fill="F3F4F6"/>
          </w:tcPr>
          <w:p>
            <w:pPr>
              <w:spacing w:after="0"/>
            </w:pPr>
            <w:r/>
            <w:r>
              <w:rPr>
                <w:rFonts w:ascii="Aptos" w:hAnsi="Aptos"/>
                <w:b w:val="0"/>
                <w:color w:val="111827"/>
                <w:sz w:val="15"/>
              </w:rPr>
              <w:t>Rothermel-family reduced directional ROS + arrival-time / minimum-travel-time style propagation</w:t>
            </w:r>
          </w:p>
        </w:tc>
      </w:tr>
      <w:tr>
        <w:tc>
          <w:tcPr>
            <w:tcW w:type="dxa" w:w="5112"/>
            <w:vAlign w:val="center"/>
          </w:tcPr>
          <w:p>
            <w:pPr>
              <w:spacing w:after="0"/>
            </w:pPr>
            <w:r/>
            <w:r>
              <w:rPr>
                <w:rFonts w:ascii="Aptos" w:hAnsi="Aptos"/>
                <w:b w:val="0"/>
                <w:color w:val="111827"/>
                <w:sz w:val="15"/>
              </w:rPr>
              <w:t>Primary spatial source of truth</w:t>
            </w:r>
          </w:p>
        </w:tc>
        <w:tc>
          <w:tcPr>
            <w:tcW w:type="dxa" w:w="5112"/>
            <w:vAlign w:val="center"/>
          </w:tcPr>
          <w:p>
            <w:pPr>
              <w:spacing w:after="0"/>
            </w:pPr>
            <w:r/>
            <w:r>
              <w:rPr>
                <w:rFonts w:ascii="Aptos" w:hAnsi="Aptos"/>
                <w:b w:val="0"/>
                <w:color w:val="111827"/>
                <w:sz w:val="15"/>
              </w:rPr>
              <w:t>Arrival-time field</w:t>
            </w:r>
          </w:p>
        </w:tc>
      </w:tr>
    </w:tbl>
    <w:p/>
    <w:tbl>
      <w:tblPr>
        <w:tblStyle w:val="TableGrid"/>
        <w:tblW w:type="auto" w:w="0"/>
        <w:tblLook w:firstColumn="1" w:firstRow="1" w:lastColumn="0" w:lastRow="0" w:noHBand="0" w:noVBand="1" w:val="04A0"/>
      </w:tblPr>
      <w:tblGrid>
        <w:gridCol w:w="10224"/>
      </w:tblGrid>
      <w:tr>
        <w:trPr>
          <w:cantSplit/>
        </w:trPr>
        <w:tc>
          <w:tcPr>
            <w:tcW w:type="dxa" w:w="10224"/>
            <w:shd w:fill="FFF7ED"/>
          </w:tcPr>
          <w:p>
            <w:r/>
            <w:r>
              <w:rPr>
                <w:b/>
                <w:color w:val="92400E"/>
                <w:sz w:val="18"/>
              </w:rPr>
              <w:t>Honesty boundary</w:t>
              <w:br/>
            </w:r>
            <w:r>
              <w:rPr>
                <w:sz w:val="17"/>
              </w:rPr>
              <w:t>V1 is a physics-informed engineering model derived from the Rothermel family, not a full operational wildfire simulator. Simplified fuel classes, moisture proxying, reduced wind treatment and finite grid resolution are deliberate V1 assumptions. They must be disclosed wherever relevant and must never be presented as full operational Rothermel/FARSITE fidelity.</w:t>
            </w:r>
          </w:p>
        </w:tc>
      </w:tr>
    </w:tbl>
    <w:p/>
    <w:p>
      <w:r>
        <w:br w:type="page"/>
      </w:r>
    </w:p>
    <w:p>
      <w:pPr>
        <w:pStyle w:val="Heading1"/>
      </w:pPr>
      <w:r>
        <w:t>Document Control &amp; Authority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Status</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LOCKED</w:t>
            </w:r>
          </w:p>
        </w:tc>
        <w:tc>
          <w:tcPr>
            <w:tcW w:type="dxa" w:w="5112"/>
            <w:vAlign w:val="center"/>
          </w:tcPr>
          <w:p>
            <w:pPr>
              <w:spacing w:after="0"/>
            </w:pPr>
            <w:r/>
            <w:r>
              <w:rPr>
                <w:rFonts w:ascii="Aptos" w:hAnsi="Aptos"/>
                <w:b w:val="0"/>
                <w:color w:val="111827"/>
                <w:sz w:val="15"/>
              </w:rPr>
              <w:t>Algorithmic or architectural structure that implementation must preserve.</w:t>
            </w:r>
          </w:p>
        </w:tc>
      </w:tr>
      <w:tr>
        <w:tc>
          <w:tcPr>
            <w:tcW w:type="dxa" w:w="5112"/>
            <w:vAlign w:val="center"/>
            <w:shd w:fill="F3F4F6"/>
          </w:tcPr>
          <w:p>
            <w:pPr>
              <w:spacing w:after="0"/>
            </w:pPr>
            <w:r/>
            <w:r>
              <w:rPr>
                <w:rFonts w:ascii="Aptos" w:hAnsi="Aptos"/>
                <w:b w:val="0"/>
                <w:color w:val="111827"/>
                <w:sz w:val="15"/>
              </w:rPr>
              <w:t>PARAMETER</w:t>
            </w:r>
          </w:p>
        </w:tc>
        <w:tc>
          <w:tcPr>
            <w:tcW w:type="dxa" w:w="5112"/>
            <w:vAlign w:val="center"/>
            <w:shd w:fill="F3F4F6"/>
          </w:tcPr>
          <w:p>
            <w:pPr>
              <w:spacing w:after="0"/>
            </w:pPr>
            <w:r/>
            <w:r>
              <w:rPr>
                <w:rFonts w:ascii="Aptos" w:hAnsi="Aptos"/>
                <w:b w:val="0"/>
                <w:color w:val="111827"/>
                <w:sz w:val="15"/>
              </w:rPr>
              <w:t>Numerical value requiring calibration, measurement, sensitivity testing or deliberate policy selection.</w:t>
            </w:r>
          </w:p>
        </w:tc>
      </w:tr>
      <w:tr>
        <w:tc>
          <w:tcPr>
            <w:tcW w:type="dxa" w:w="5112"/>
            <w:vAlign w:val="center"/>
          </w:tcPr>
          <w:p>
            <w:pPr>
              <w:spacing w:after="0"/>
            </w:pPr>
            <w:r/>
            <w:r>
              <w:rPr>
                <w:rFonts w:ascii="Aptos" w:hAnsi="Aptos"/>
                <w:b w:val="0"/>
                <w:color w:val="111827"/>
                <w:sz w:val="15"/>
              </w:rPr>
              <w:t>ASSUMPTION</w:t>
            </w:r>
          </w:p>
        </w:tc>
        <w:tc>
          <w:tcPr>
            <w:tcW w:type="dxa" w:w="5112"/>
            <w:vAlign w:val="center"/>
          </w:tcPr>
          <w:p>
            <w:pPr>
              <w:spacing w:after="0"/>
            </w:pPr>
            <w:r/>
            <w:r>
              <w:rPr>
                <w:rFonts w:ascii="Aptos" w:hAnsi="Aptos"/>
                <w:b w:val="0"/>
                <w:color w:val="111827"/>
                <w:sz w:val="15"/>
              </w:rPr>
              <w:t>Explicit simplification used by V1; visible in metadata/UI when material.</w:t>
            </w:r>
          </w:p>
        </w:tc>
      </w:tr>
      <w:tr>
        <w:tc>
          <w:tcPr>
            <w:tcW w:type="dxa" w:w="5112"/>
            <w:vAlign w:val="center"/>
            <w:shd w:fill="F3F4F6"/>
          </w:tcPr>
          <w:p>
            <w:pPr>
              <w:spacing w:after="0"/>
            </w:pPr>
            <w:r/>
            <w:r>
              <w:rPr>
                <w:rFonts w:ascii="Aptos" w:hAnsi="Aptos"/>
                <w:b w:val="0"/>
                <w:color w:val="111827"/>
                <w:sz w:val="15"/>
              </w:rPr>
              <w:t>DEGRADED</w:t>
            </w:r>
          </w:p>
        </w:tc>
        <w:tc>
          <w:tcPr>
            <w:tcW w:type="dxa" w:w="5112"/>
            <w:vAlign w:val="center"/>
            <w:shd w:fill="F3F4F6"/>
          </w:tcPr>
          <w:p>
            <w:pPr>
              <w:spacing w:after="0"/>
            </w:pPr>
            <w:r/>
            <w:r>
              <w:rPr>
                <w:rFonts w:ascii="Aptos" w:hAnsi="Aptos"/>
                <w:b w:val="0"/>
                <w:color w:val="111827"/>
                <w:sz w:val="15"/>
              </w:rPr>
              <w:t>A required input/capability is unavailable but a controlled fallback remains usable.</w:t>
            </w:r>
          </w:p>
        </w:tc>
      </w:tr>
      <w:tr>
        <w:tc>
          <w:tcPr>
            <w:tcW w:type="dxa" w:w="5112"/>
            <w:vAlign w:val="center"/>
          </w:tcPr>
          <w:p>
            <w:pPr>
              <w:spacing w:after="0"/>
            </w:pPr>
            <w:r/>
            <w:r>
              <w:rPr>
                <w:rFonts w:ascii="Aptos" w:hAnsi="Aptos"/>
                <w:b w:val="0"/>
                <w:color w:val="111827"/>
                <w:sz w:val="15"/>
              </w:rPr>
              <w:t>UNKNOWN</w:t>
            </w:r>
          </w:p>
        </w:tc>
        <w:tc>
          <w:tcPr>
            <w:tcW w:type="dxa" w:w="5112"/>
            <w:vAlign w:val="center"/>
          </w:tcPr>
          <w:p>
            <w:pPr>
              <w:spacing w:after="0"/>
            </w:pPr>
            <w:r/>
            <w:r>
              <w:rPr>
                <w:rFonts w:ascii="Aptos" w:hAnsi="Aptos"/>
                <w:b w:val="0"/>
                <w:color w:val="111827"/>
                <w:sz w:val="15"/>
              </w:rPr>
              <w:t>There is insufficient information to produce a trustworthy output.</w:t>
            </w:r>
          </w:p>
        </w:tc>
      </w:tr>
      <w:tr>
        <w:tc>
          <w:tcPr>
            <w:tcW w:type="dxa" w:w="5112"/>
            <w:vAlign w:val="center"/>
            <w:shd w:fill="F3F4F6"/>
          </w:tcPr>
          <w:p>
            <w:pPr>
              <w:spacing w:after="0"/>
            </w:pPr>
            <w:r/>
            <w:r>
              <w:rPr>
                <w:rFonts w:ascii="Aptos" w:hAnsi="Aptos"/>
                <w:b w:val="0"/>
                <w:color w:val="111827"/>
                <w:sz w:val="15"/>
              </w:rPr>
              <w:t>ROADMAP</w:t>
            </w:r>
          </w:p>
        </w:tc>
        <w:tc>
          <w:tcPr>
            <w:tcW w:type="dxa" w:w="5112"/>
            <w:vAlign w:val="center"/>
            <w:shd w:fill="F3F4F6"/>
          </w:tcPr>
          <w:p>
            <w:pPr>
              <w:spacing w:after="0"/>
            </w:pPr>
            <w:r/>
            <w:r>
              <w:rPr>
                <w:rFonts w:ascii="Aptos" w:hAnsi="Aptos"/>
                <w:b w:val="0"/>
                <w:color w:val="111827"/>
                <w:sz w:val="15"/>
              </w:rPr>
              <w:t>Potential future enhancement; outside V1.</w:t>
            </w:r>
          </w:p>
        </w:tc>
      </w:tr>
      <w:tr>
        <w:tc>
          <w:tcPr>
            <w:tcW w:type="dxa" w:w="5112"/>
            <w:vAlign w:val="center"/>
          </w:tcPr>
          <w:p>
            <w:pPr>
              <w:spacing w:after="0"/>
            </w:pPr>
            <w:r/>
            <w:r>
              <w:rPr>
                <w:rFonts w:ascii="Aptos" w:hAnsi="Aptos"/>
                <w:b w:val="0"/>
                <w:color w:val="111827"/>
                <w:sz w:val="15"/>
              </w:rPr>
              <w:t>REJECTED</w:t>
            </w:r>
          </w:p>
        </w:tc>
        <w:tc>
          <w:tcPr>
            <w:tcW w:type="dxa" w:w="5112"/>
            <w:vAlign w:val="center"/>
          </w:tcPr>
          <w:p>
            <w:pPr>
              <w:spacing w:after="0"/>
            </w:pPr>
            <w:r/>
            <w:r>
              <w:rPr>
                <w:rFonts w:ascii="Aptos" w:hAnsi="Aptos"/>
                <w:b w:val="0"/>
                <w:color w:val="111827"/>
                <w:sz w:val="15"/>
              </w:rPr>
              <w:t>Approach intentionally excluded from V1.</w:t>
            </w:r>
          </w:p>
        </w:tc>
      </w:tr>
    </w:tbl>
    <w:p/>
    <w:p>
      <w:pPr>
        <w:pStyle w:val="Heading2"/>
      </w:pPr>
      <w:r>
        <w:t>Authority documents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Topic</w:t>
            </w:r>
          </w:p>
        </w:tc>
        <w:tc>
          <w:tcPr>
            <w:tcW w:type="dxa" w:w="5112"/>
            <w:vAlign w:val="center"/>
            <w:shd w:fill="0B5A75"/>
          </w:tcPr>
          <w:p>
            <w:pPr>
              <w:spacing w:after="0"/>
            </w:pPr>
            <w:r/>
            <w:r>
              <w:rPr>
                <w:rFonts w:ascii="Aptos" w:hAnsi="Aptos"/>
                <w:b/>
                <w:color w:val="FFFFFF"/>
                <w:sz w:val="15"/>
              </w:rPr>
              <w:t>Primary source</w:t>
            </w:r>
          </w:p>
        </w:tc>
      </w:tr>
      <w:tr>
        <w:tc>
          <w:tcPr>
            <w:tcW w:type="dxa" w:w="5112"/>
            <w:vAlign w:val="center"/>
          </w:tcPr>
          <w:p>
            <w:pPr>
              <w:spacing w:after="0"/>
            </w:pPr>
            <w:r/>
            <w:r>
              <w:rPr>
                <w:rFonts w:ascii="Aptos" w:hAnsi="Aptos"/>
                <w:b w:val="0"/>
                <w:color w:val="111827"/>
                <w:sz w:val="15"/>
              </w:rPr>
              <w:t>Overall system architecture</w:t>
            </w:r>
          </w:p>
        </w:tc>
        <w:tc>
          <w:tcPr>
            <w:tcW w:type="dxa" w:w="5112"/>
            <w:vAlign w:val="center"/>
          </w:tcPr>
          <w:p>
            <w:pPr>
              <w:spacing w:after="0"/>
            </w:pPr>
            <w:r/>
            <w:r>
              <w:rPr>
                <w:rFonts w:ascii="Aptos" w:hAnsi="Aptos"/>
                <w:b w:val="0"/>
                <w:color w:val="111827"/>
                <w:sz w:val="15"/>
              </w:rPr>
              <w:t>01 — Master Architecture &amp; Invariants</w:t>
            </w:r>
          </w:p>
        </w:tc>
      </w:tr>
      <w:tr>
        <w:tc>
          <w:tcPr>
            <w:tcW w:type="dxa" w:w="5112"/>
            <w:vAlign w:val="center"/>
            <w:shd w:fill="F3F4F6"/>
          </w:tcPr>
          <w:p>
            <w:pPr>
              <w:spacing w:after="0"/>
            </w:pPr>
            <w:r/>
            <w:r>
              <w:rPr>
                <w:rFonts w:ascii="Aptos" w:hAnsi="Aptos"/>
                <w:b w:val="0"/>
                <w:color w:val="111827"/>
                <w:sz w:val="15"/>
              </w:rPr>
              <w:t>Technical requirement</w:t>
            </w:r>
          </w:p>
        </w:tc>
        <w:tc>
          <w:tcPr>
            <w:tcW w:type="dxa" w:w="5112"/>
            <w:vAlign w:val="center"/>
            <w:shd w:fill="F3F4F6"/>
          </w:tcPr>
          <w:p>
            <w:pPr>
              <w:spacing w:after="0"/>
            </w:pPr>
            <w:r/>
            <w:r>
              <w:rPr>
                <w:rFonts w:ascii="Aptos" w:hAnsi="Aptos"/>
                <w:b w:val="0"/>
                <w:color w:val="111827"/>
                <w:sz w:val="15"/>
              </w:rPr>
              <w:t>02 — TRD</w:t>
            </w:r>
          </w:p>
        </w:tc>
      </w:tr>
      <w:tr>
        <w:tc>
          <w:tcPr>
            <w:tcW w:type="dxa" w:w="5112"/>
            <w:vAlign w:val="center"/>
          </w:tcPr>
          <w:p>
            <w:pPr>
              <w:spacing w:after="0"/>
            </w:pPr>
            <w:r/>
            <w:r>
              <w:rPr>
                <w:rFonts w:ascii="Aptos" w:hAnsi="Aptos"/>
                <w:b w:val="0"/>
                <w:color w:val="111827"/>
                <w:sz w:val="15"/>
              </w:rPr>
              <w:t>Technology/runtime boundary</w:t>
            </w:r>
          </w:p>
        </w:tc>
        <w:tc>
          <w:tcPr>
            <w:tcW w:type="dxa" w:w="5112"/>
            <w:vAlign w:val="center"/>
          </w:tcPr>
          <w:p>
            <w:pPr>
              <w:spacing w:after="0"/>
            </w:pPr>
            <w:r/>
            <w:r>
              <w:rPr>
                <w:rFonts w:ascii="Aptos" w:hAnsi="Aptos"/>
                <w:b w:val="0"/>
                <w:color w:val="111827"/>
                <w:sz w:val="15"/>
              </w:rPr>
              <w:t>03 — Technology Stack / Deployment</w:t>
            </w:r>
          </w:p>
        </w:tc>
      </w:tr>
      <w:tr>
        <w:tc>
          <w:tcPr>
            <w:tcW w:type="dxa" w:w="5112"/>
            <w:vAlign w:val="center"/>
            <w:shd w:fill="F3F4F6"/>
          </w:tcPr>
          <w:p>
            <w:pPr>
              <w:spacing w:after="0"/>
            </w:pPr>
            <w:r/>
            <w:r>
              <w:rPr>
                <w:rFonts w:ascii="Aptos" w:hAnsi="Aptos"/>
                <w:b w:val="0"/>
                <w:color w:val="111827"/>
                <w:sz w:val="15"/>
              </w:rPr>
              <w:t>Intelligence/hazard evidence</w:t>
            </w:r>
          </w:p>
        </w:tc>
        <w:tc>
          <w:tcPr>
            <w:tcW w:type="dxa" w:w="5112"/>
            <w:vAlign w:val="center"/>
            <w:shd w:fill="F3F4F6"/>
          </w:tcPr>
          <w:p>
            <w:pPr>
              <w:spacing w:after="0"/>
            </w:pPr>
            <w:r/>
            <w:r>
              <w:rPr>
                <w:rFonts w:ascii="Aptos" w:hAnsi="Aptos"/>
                <w:b w:val="0"/>
                <w:color w:val="111827"/>
                <w:sz w:val="15"/>
              </w:rPr>
              <w:t>04 — Mathematical Intelligence &amp; Hazard Reasoning</w:t>
            </w:r>
          </w:p>
        </w:tc>
      </w:tr>
      <w:tr>
        <w:tc>
          <w:tcPr>
            <w:tcW w:type="dxa" w:w="5112"/>
            <w:vAlign w:val="center"/>
          </w:tcPr>
          <w:p>
            <w:pPr>
              <w:spacing w:after="0"/>
            </w:pPr>
            <w:r/>
            <w:r>
              <w:rPr>
                <w:rFonts w:ascii="Aptos" w:hAnsi="Aptos"/>
                <w:b w:val="0"/>
                <w:color w:val="111827"/>
                <w:sz w:val="15"/>
              </w:rPr>
              <w:t>Hardware telemetry</w:t>
            </w:r>
          </w:p>
        </w:tc>
        <w:tc>
          <w:tcPr>
            <w:tcW w:type="dxa" w:w="5112"/>
            <w:vAlign w:val="center"/>
          </w:tcPr>
          <w:p>
            <w:pPr>
              <w:spacing w:after="0"/>
            </w:pPr>
            <w:r/>
            <w:r>
              <w:rPr>
                <w:rFonts w:ascii="Aptos" w:hAnsi="Aptos"/>
                <w:b w:val="0"/>
                <w:color w:val="111827"/>
                <w:sz w:val="15"/>
              </w:rPr>
              <w:t>06 — Hardware/Edge</w:t>
            </w:r>
          </w:p>
        </w:tc>
      </w:tr>
      <w:tr>
        <w:tc>
          <w:tcPr>
            <w:tcW w:type="dxa" w:w="5112"/>
            <w:vAlign w:val="center"/>
            <w:shd w:fill="F3F4F6"/>
          </w:tcPr>
          <w:p>
            <w:pPr>
              <w:spacing w:after="0"/>
            </w:pPr>
            <w:r/>
            <w:r>
              <w:rPr>
                <w:rFonts w:ascii="Aptos" w:hAnsi="Aptos"/>
                <w:b w:val="0"/>
                <w:color w:val="111827"/>
                <w:sz w:val="15"/>
              </w:rPr>
              <w:t>Data provenance</w:t>
            </w:r>
          </w:p>
        </w:tc>
        <w:tc>
          <w:tcPr>
            <w:tcW w:type="dxa" w:w="5112"/>
            <w:vAlign w:val="center"/>
            <w:shd w:fill="F3F4F6"/>
          </w:tcPr>
          <w:p>
            <w:pPr>
              <w:spacing w:after="0"/>
            </w:pPr>
            <w:r/>
            <w:r>
              <w:rPr>
                <w:rFonts w:ascii="Aptos" w:hAnsi="Aptos"/>
                <w:b w:val="0"/>
                <w:color w:val="111827"/>
                <w:sz w:val="15"/>
              </w:rPr>
              <w:t>08 — Data/Dataset</w:t>
            </w:r>
          </w:p>
        </w:tc>
      </w:tr>
      <w:tr>
        <w:tc>
          <w:tcPr>
            <w:tcW w:type="dxa" w:w="5112"/>
            <w:vAlign w:val="center"/>
          </w:tcPr>
          <w:p>
            <w:pPr>
              <w:spacing w:after="0"/>
            </w:pPr>
            <w:r/>
            <w:r>
              <w:rPr>
                <w:rFonts w:ascii="Aptos" w:hAnsi="Aptos"/>
                <w:b w:val="0"/>
                <w:color w:val="111827"/>
                <w:sz w:val="15"/>
              </w:rPr>
              <w:t>Dashboard rendering</w:t>
            </w:r>
          </w:p>
        </w:tc>
        <w:tc>
          <w:tcPr>
            <w:tcW w:type="dxa" w:w="5112"/>
            <w:vAlign w:val="center"/>
          </w:tcPr>
          <w:p>
            <w:pPr>
              <w:spacing w:after="0"/>
            </w:pPr>
            <w:r/>
            <w:r>
              <w:rPr>
                <w:rFonts w:ascii="Aptos" w:hAnsi="Aptos"/>
                <w:b w:val="0"/>
                <w:color w:val="111827"/>
                <w:sz w:val="15"/>
              </w:rPr>
              <w:t>13 — Authority Dashboard</w:t>
            </w:r>
          </w:p>
        </w:tc>
      </w:tr>
      <w:tr>
        <w:tc>
          <w:tcPr>
            <w:tcW w:type="dxa" w:w="5112"/>
            <w:vAlign w:val="center"/>
            <w:shd w:fill="F3F4F6"/>
          </w:tcPr>
          <w:p>
            <w:pPr>
              <w:spacing w:after="0"/>
            </w:pPr>
            <w:r/>
            <w:r>
              <w:rPr>
                <w:rFonts w:ascii="Aptos" w:hAnsi="Aptos"/>
                <w:b w:val="0"/>
                <w:color w:val="111827"/>
                <w:sz w:val="15"/>
              </w:rPr>
              <w:t>Validation</w:t>
            </w:r>
          </w:p>
        </w:tc>
        <w:tc>
          <w:tcPr>
            <w:tcW w:type="dxa" w:w="5112"/>
            <w:vAlign w:val="center"/>
            <w:shd w:fill="F3F4F6"/>
          </w:tcPr>
          <w:p>
            <w:pPr>
              <w:spacing w:after="0"/>
            </w:pPr>
            <w:r/>
            <w:r>
              <w:rPr>
                <w:rFonts w:ascii="Aptos" w:hAnsi="Aptos"/>
                <w:b w:val="0"/>
                <w:color w:val="111827"/>
                <w:sz w:val="15"/>
              </w:rPr>
              <w:t>17 — Validation</w:t>
            </w:r>
          </w:p>
        </w:tc>
      </w:tr>
    </w:tbl>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Red-team basis</w:t>
              <w:br/>
            </w:r>
            <w:r>
              <w:rPr>
                <w:sz w:val="17"/>
              </w:rPr>
              <w:t>The final adversarial fire/geospatial review confirmed the arrival-time/event-based approach, while requiring explicit handling of wind FROM→TO conversion, diagonal √2 distances, vector wind+slope treatment, projected CRS, mid-run environmental recomputation, MultiPolygon support, and footprint-vs-buffer semantics. fileciteturn19file0 fileciteturn19file16</w:t>
            </w:r>
          </w:p>
        </w:tc>
      </w:tr>
    </w:tbl>
    <w:p/>
    <w:p>
      <w:pPr>
        <w:pStyle w:val="Heading1"/>
      </w:pPr>
      <w:r>
        <w:t>1. Purpose &amp; Design Goals</w:t>
      </w:r>
    </w:p>
    <w:p>
      <w:pPr>
        <w:pStyle w:val="Heading2"/>
      </w:pPr>
      <w:r>
        <w:t>1.1 What this engine does</w:t>
      </w:r>
    </w:p>
    <w:p>
      <w:r>
        <w:t>The Fire/Geospatial Engine converts a validated fire incident plus environmental and geographic context into an evolving spatial model. Its outputs are not merely a visual animation. The engine produces an arrival-time field that is then deterministically transformed into current physical footprint, warning/projection regions, a policy-defined operational buffer, a spatial hazard-risk index, and geometry/statistics for downstream exposure and response.</w:t>
      </w:r>
    </w:p>
    <w:p>
      <w:pPr>
        <w:pStyle w:val="Heading2"/>
      </w:pPr>
      <w:r>
        <w:t>1.2 What it must prove</w:t>
      </w:r>
    </w:p>
    <w:p>
      <w:pPr>
        <w:pStyle w:val="ListBullet"/>
        <w:spacing w:after="40"/>
      </w:pPr>
      <w:r>
        <w:t>Wind changes the direction and anisotropy of spread in a physically interpretable way.</w:t>
      </w:r>
    </w:p>
    <w:p>
      <w:pPr>
        <w:pStyle w:val="ListBullet"/>
        <w:spacing w:after="40"/>
      </w:pPr>
      <w:r>
        <w:t>Slope and aspect influence propagation direction and speed.</w:t>
      </w:r>
    </w:p>
    <w:p>
      <w:pPr>
        <w:pStyle w:val="ListBullet"/>
        <w:spacing w:after="40"/>
      </w:pPr>
      <w:r>
        <w:t>Different fuel classes produce different local spread behavior.</w:t>
      </w:r>
    </w:p>
    <w:p>
      <w:pPr>
        <w:pStyle w:val="ListBullet"/>
        <w:spacing w:after="40"/>
      </w:pPr>
      <w:r>
        <w:t>Moisture/context suppresses or allows spread.</w:t>
      </w:r>
    </w:p>
    <w:p>
      <w:pPr>
        <w:pStyle w:val="ListBullet"/>
        <w:spacing w:after="40"/>
      </w:pPr>
      <w:r>
        <w:t>Non-burnable barriers block propagation and force the front around them.</w:t>
      </w:r>
    </w:p>
    <w:p>
      <w:pPr>
        <w:pStyle w:val="ListBullet"/>
        <w:spacing w:after="40"/>
      </w:pPr>
      <w:r>
        <w:t>Propagation is driven by computed arrival times, not a decorative expanding circle.</w:t>
      </w:r>
    </w:p>
    <w:p>
      <w:pPr>
        <w:pStyle w:val="ListBullet"/>
        <w:spacing w:after="40"/>
      </w:pPr>
      <w:r>
        <w:t>Current, warning and projected areas are derived from one source-of-truth arrival field.</w:t>
      </w:r>
    </w:p>
    <w:p>
      <w:pPr>
        <w:pStyle w:val="ListBullet"/>
        <w:spacing w:after="40"/>
      </w:pPr>
      <w:r>
        <w:t>The risk heatmap is distinct from physical footprint and exposure.</w:t>
      </w:r>
    </w:p>
    <w:p>
      <w:pPr>
        <w:pStyle w:val="ListBullet"/>
        <w:spacing w:after="40"/>
      </w:pPr>
      <w:r>
        <w:t>Environmental changes can update the future projection without rewriting elapsed history.</w:t>
      </w:r>
    </w:p>
    <w:p>
      <w:pPr>
        <w:pStyle w:val="Heading2"/>
      </w:pPr>
      <w:r>
        <w:t>1.3 What it does NOT do</w:t>
      </w:r>
    </w:p>
    <w:p>
      <w:pPr>
        <w:pStyle w:val="ListBullet"/>
        <w:spacing w:after="40"/>
      </w:pPr>
      <w:r>
        <w:t>No CFD/FIRETEC/WFDS-class fluid/combustion simulation.</w:t>
      </w:r>
    </w:p>
    <w:p>
      <w:pPr>
        <w:pStyle w:val="ListBullet"/>
        <w:spacing w:after="40"/>
      </w:pPr>
      <w:r>
        <w:t>No ember spotting/reignition in V1.</w:t>
      </w:r>
    </w:p>
    <w:p>
      <w:pPr>
        <w:pStyle w:val="ListBullet"/>
        <w:spacing w:after="40"/>
      </w:pPr>
      <w:r>
        <w:t>No exact flame-front turbulent physics.</w:t>
      </w:r>
    </w:p>
    <w:p>
      <w:pPr>
        <w:pStyle w:val="ListBullet"/>
        <w:spacing w:after="40"/>
      </w:pPr>
      <w:r>
        <w:t>No claim of operationally validated wildfire forecasting.</w:t>
      </w:r>
    </w:p>
    <w:p>
      <w:pPr>
        <w:pStyle w:val="ListBullet"/>
        <w:spacing w:after="40"/>
      </w:pPr>
      <w:r>
        <w:t>No hidden fabricated fuel, population, weather or infrastructure values.</w:t>
      </w:r>
    </w:p>
    <w:p>
      <w:pPr>
        <w:pStyle w:val="ListBullet"/>
        <w:spacing w:after="40"/>
      </w:pPr>
      <w:r>
        <w:t>No fire-spread computation on the ESP32.</w:t>
      </w:r>
    </w:p>
    <w:p>
      <w:pPr>
        <w:pStyle w:val="Heading1"/>
      </w:pPr>
      <w:r>
        <w:t>2. Canonical Terminology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Term</w:t>
            </w:r>
          </w:p>
        </w:tc>
        <w:tc>
          <w:tcPr>
            <w:tcW w:type="dxa" w:w="5112"/>
            <w:vAlign w:val="center"/>
            <w:shd w:fill="0B5A75"/>
          </w:tcPr>
          <w:p>
            <w:pPr>
              <w:spacing w:after="0"/>
            </w:pPr>
            <w:r/>
            <w:r>
              <w:rPr>
                <w:rFonts w:ascii="Aptos" w:hAnsi="Aptos"/>
                <w:b/>
                <w:color w:val="FFFFFF"/>
                <w:sz w:val="15"/>
              </w:rPr>
              <w:t>Definition</w:t>
            </w:r>
          </w:p>
        </w:tc>
      </w:tr>
      <w:tr>
        <w:tc>
          <w:tcPr>
            <w:tcW w:type="dxa" w:w="5112"/>
            <w:vAlign w:val="center"/>
          </w:tcPr>
          <w:p>
            <w:pPr>
              <w:spacing w:after="0"/>
            </w:pPr>
            <w:r/>
            <w:r>
              <w:rPr>
                <w:rFonts w:ascii="Aptos" w:hAnsi="Aptos"/>
                <w:b w:val="0"/>
                <w:color w:val="111827"/>
                <w:sz w:val="15"/>
              </w:rPr>
              <w:t>Cell</w:t>
            </w:r>
          </w:p>
        </w:tc>
        <w:tc>
          <w:tcPr>
            <w:tcW w:type="dxa" w:w="5112"/>
            <w:vAlign w:val="center"/>
          </w:tcPr>
          <w:p>
            <w:pPr>
              <w:spacing w:after="0"/>
            </w:pPr>
            <w:r/>
            <w:r>
              <w:rPr>
                <w:rFonts w:ascii="Aptos" w:hAnsi="Aptos"/>
                <w:b w:val="0"/>
                <w:color w:val="111827"/>
                <w:sz w:val="15"/>
              </w:rPr>
              <w:t>One element of the spatial simulation grid.</w:t>
            </w:r>
          </w:p>
        </w:tc>
      </w:tr>
      <w:tr>
        <w:tc>
          <w:tcPr>
            <w:tcW w:type="dxa" w:w="5112"/>
            <w:vAlign w:val="center"/>
            <w:shd w:fill="F3F4F6"/>
          </w:tcPr>
          <w:p>
            <w:pPr>
              <w:spacing w:after="0"/>
            </w:pPr>
            <w:r/>
            <w:r>
              <w:rPr>
                <w:rFonts w:ascii="Aptos" w:hAnsi="Aptos"/>
                <w:b w:val="0"/>
                <w:color w:val="111827"/>
                <w:sz w:val="15"/>
              </w:rPr>
              <w:t>Ignition point</w:t>
            </w:r>
          </w:p>
        </w:tc>
        <w:tc>
          <w:tcPr>
            <w:tcW w:type="dxa" w:w="5112"/>
            <w:vAlign w:val="center"/>
            <w:shd w:fill="F3F4F6"/>
          </w:tcPr>
          <w:p>
            <w:pPr>
              <w:spacing w:after="0"/>
            </w:pPr>
            <w:r/>
            <w:r>
              <w:rPr>
                <w:rFonts w:ascii="Aptos" w:hAnsi="Aptos"/>
                <w:b w:val="0"/>
                <w:color w:val="111827"/>
                <w:sz w:val="15"/>
              </w:rPr>
              <w:t>Geographic point where the fire starts; mapped to a seed cell.</w:t>
            </w:r>
          </w:p>
        </w:tc>
      </w:tr>
      <w:tr>
        <w:tc>
          <w:tcPr>
            <w:tcW w:type="dxa" w:w="5112"/>
            <w:vAlign w:val="center"/>
          </w:tcPr>
          <w:p>
            <w:pPr>
              <w:spacing w:after="0"/>
            </w:pPr>
            <w:r/>
            <w:r>
              <w:rPr>
                <w:rFonts w:ascii="Aptos" w:hAnsi="Aptos"/>
                <w:b w:val="0"/>
                <w:color w:val="111827"/>
                <w:sz w:val="15"/>
              </w:rPr>
              <w:t>Fuel cell</w:t>
            </w:r>
          </w:p>
        </w:tc>
        <w:tc>
          <w:tcPr>
            <w:tcW w:type="dxa" w:w="5112"/>
            <w:vAlign w:val="center"/>
          </w:tcPr>
          <w:p>
            <w:pPr>
              <w:spacing w:after="0"/>
            </w:pPr>
            <w:r/>
            <w:r>
              <w:rPr>
                <w:rFonts w:ascii="Aptos" w:hAnsi="Aptos"/>
                <w:b w:val="0"/>
                <w:color w:val="111827"/>
                <w:sz w:val="15"/>
              </w:rPr>
              <w:t>Grid cell with a configured fuel class/behavior.</w:t>
            </w:r>
          </w:p>
        </w:tc>
      </w:tr>
      <w:tr>
        <w:tc>
          <w:tcPr>
            <w:tcW w:type="dxa" w:w="5112"/>
            <w:vAlign w:val="center"/>
            <w:shd w:fill="F3F4F6"/>
          </w:tcPr>
          <w:p>
            <w:pPr>
              <w:spacing w:after="0"/>
            </w:pPr>
            <w:r/>
            <w:r>
              <w:rPr>
                <w:rFonts w:ascii="Aptos" w:hAnsi="Aptos"/>
                <w:b w:val="0"/>
                <w:color w:val="111827"/>
                <w:sz w:val="15"/>
              </w:rPr>
              <w:t>Burnable</w:t>
            </w:r>
          </w:p>
        </w:tc>
        <w:tc>
          <w:tcPr>
            <w:tcW w:type="dxa" w:w="5112"/>
            <w:vAlign w:val="center"/>
            <w:shd w:fill="F3F4F6"/>
          </w:tcPr>
          <w:p>
            <w:pPr>
              <w:spacing w:after="0"/>
            </w:pPr>
            <w:r/>
            <w:r>
              <w:rPr>
                <w:rFonts w:ascii="Aptos" w:hAnsi="Aptos"/>
                <w:b w:val="0"/>
                <w:color w:val="111827"/>
                <w:sz w:val="15"/>
              </w:rPr>
              <w:t>Boolean/property indicating whether the cell can propagate fire in V1.</w:t>
            </w:r>
          </w:p>
        </w:tc>
      </w:tr>
      <w:tr>
        <w:tc>
          <w:tcPr>
            <w:tcW w:type="dxa" w:w="5112"/>
            <w:vAlign w:val="center"/>
          </w:tcPr>
          <w:p>
            <w:pPr>
              <w:spacing w:after="0"/>
            </w:pPr>
            <w:r/>
            <w:r>
              <w:rPr>
                <w:rFonts w:ascii="Aptos" w:hAnsi="Aptos"/>
                <w:b w:val="0"/>
                <w:color w:val="111827"/>
                <w:sz w:val="15"/>
              </w:rPr>
              <w:t>ROS</w:t>
            </w:r>
          </w:p>
        </w:tc>
        <w:tc>
          <w:tcPr>
            <w:tcW w:type="dxa" w:w="5112"/>
            <w:vAlign w:val="center"/>
          </w:tcPr>
          <w:p>
            <w:pPr>
              <w:spacing w:after="0"/>
            </w:pPr>
            <w:r/>
            <w:r>
              <w:rPr>
                <w:rFonts w:ascii="Aptos" w:hAnsi="Aptos"/>
                <w:b w:val="0"/>
                <w:color w:val="111827"/>
                <w:sz w:val="15"/>
              </w:rPr>
              <w:t>Rate of spread, expressed as a distance per time under the model.</w:t>
            </w:r>
          </w:p>
        </w:tc>
      </w:tr>
      <w:tr>
        <w:tc>
          <w:tcPr>
            <w:tcW w:type="dxa" w:w="5112"/>
            <w:vAlign w:val="center"/>
            <w:shd w:fill="F3F4F6"/>
          </w:tcPr>
          <w:p>
            <w:pPr>
              <w:spacing w:after="0"/>
            </w:pPr>
            <w:r/>
            <w:r>
              <w:rPr>
                <w:rFonts w:ascii="Aptos" w:hAnsi="Aptos"/>
                <w:b w:val="0"/>
                <w:color w:val="111827"/>
                <w:sz w:val="15"/>
              </w:rPr>
              <w:t>Directional ROS</w:t>
            </w:r>
          </w:p>
        </w:tc>
        <w:tc>
          <w:tcPr>
            <w:tcW w:type="dxa" w:w="5112"/>
            <w:vAlign w:val="center"/>
            <w:shd w:fill="F3F4F6"/>
          </w:tcPr>
          <w:p>
            <w:pPr>
              <w:spacing w:after="0"/>
            </w:pPr>
            <w:r/>
            <w:r>
              <w:rPr>
                <w:rFonts w:ascii="Aptos" w:hAnsi="Aptos"/>
                <w:b w:val="0"/>
                <w:color w:val="111827"/>
                <w:sz w:val="15"/>
              </w:rPr>
              <w:t>ROS for a specific propagation direction.</w:t>
            </w:r>
          </w:p>
        </w:tc>
      </w:tr>
      <w:tr>
        <w:tc>
          <w:tcPr>
            <w:tcW w:type="dxa" w:w="5112"/>
            <w:vAlign w:val="center"/>
          </w:tcPr>
          <w:p>
            <w:pPr>
              <w:spacing w:after="0"/>
            </w:pPr>
            <w:r/>
            <w:r>
              <w:rPr>
                <w:rFonts w:ascii="Aptos" w:hAnsi="Aptos"/>
                <w:b w:val="0"/>
                <w:color w:val="111827"/>
                <w:sz w:val="15"/>
              </w:rPr>
              <w:t>Arrival time T_a(c)</w:t>
            </w:r>
          </w:p>
        </w:tc>
        <w:tc>
          <w:tcPr>
            <w:tcW w:type="dxa" w:w="5112"/>
            <w:vAlign w:val="center"/>
          </w:tcPr>
          <w:p>
            <w:pPr>
              <w:spacing w:after="0"/>
            </w:pPr>
            <w:r/>
            <w:r>
              <w:rPr>
                <w:rFonts w:ascii="Aptos" w:hAnsi="Aptos"/>
                <w:b w:val="0"/>
                <w:color w:val="111827"/>
                <w:sz w:val="15"/>
              </w:rPr>
              <w:t>Earliest simulated time at which fire reaches cell c.</w:t>
            </w:r>
          </w:p>
        </w:tc>
      </w:tr>
      <w:tr>
        <w:tc>
          <w:tcPr>
            <w:tcW w:type="dxa" w:w="5112"/>
            <w:vAlign w:val="center"/>
            <w:shd w:fill="F3F4F6"/>
          </w:tcPr>
          <w:p>
            <w:pPr>
              <w:spacing w:after="0"/>
            </w:pPr>
            <w:r/>
            <w:r>
              <w:rPr>
                <w:rFonts w:ascii="Aptos" w:hAnsi="Aptos"/>
                <w:b w:val="0"/>
                <w:color w:val="111827"/>
                <w:sz w:val="15"/>
              </w:rPr>
              <w:t>Current footprint</w:t>
            </w:r>
          </w:p>
        </w:tc>
        <w:tc>
          <w:tcPr>
            <w:tcW w:type="dxa" w:w="5112"/>
            <w:vAlign w:val="center"/>
            <w:shd w:fill="F3F4F6"/>
          </w:tcPr>
          <w:p>
            <w:pPr>
              <w:spacing w:after="0"/>
            </w:pPr>
            <w:r/>
            <w:r>
              <w:rPr>
                <w:rFonts w:ascii="Aptos" w:hAnsi="Aptos"/>
                <w:b w:val="0"/>
                <w:color w:val="111827"/>
                <w:sz w:val="15"/>
              </w:rPr>
              <w:t>Cells already reached by T_a(c) &lt;= now.</w:t>
            </w:r>
          </w:p>
        </w:tc>
      </w:tr>
      <w:tr>
        <w:tc>
          <w:tcPr>
            <w:tcW w:type="dxa" w:w="5112"/>
            <w:vAlign w:val="center"/>
          </w:tcPr>
          <w:p>
            <w:pPr>
              <w:spacing w:after="0"/>
            </w:pPr>
            <w:r/>
            <w:r>
              <w:rPr>
                <w:rFonts w:ascii="Aptos" w:hAnsi="Aptos"/>
                <w:b w:val="0"/>
                <w:color w:val="111827"/>
                <w:sz w:val="15"/>
              </w:rPr>
              <w:t>Warning zone</w:t>
            </w:r>
          </w:p>
        </w:tc>
        <w:tc>
          <w:tcPr>
            <w:tcW w:type="dxa" w:w="5112"/>
            <w:vAlign w:val="center"/>
          </w:tcPr>
          <w:p>
            <w:pPr>
              <w:spacing w:after="0"/>
            </w:pPr>
            <w:r/>
            <w:r>
              <w:rPr>
                <w:rFonts w:ascii="Aptos" w:hAnsi="Aptos"/>
                <w:b w:val="0"/>
                <w:color w:val="111827"/>
                <w:sz w:val="15"/>
              </w:rPr>
              <w:t>Cells predicted to be reached within the short future horizon.</w:t>
            </w:r>
          </w:p>
        </w:tc>
      </w:tr>
      <w:tr>
        <w:tc>
          <w:tcPr>
            <w:tcW w:type="dxa" w:w="5112"/>
            <w:vAlign w:val="center"/>
            <w:shd w:fill="F3F4F6"/>
          </w:tcPr>
          <w:p>
            <w:pPr>
              <w:spacing w:after="0"/>
            </w:pPr>
            <w:r/>
            <w:r>
              <w:rPr>
                <w:rFonts w:ascii="Aptos" w:hAnsi="Aptos"/>
                <w:b w:val="0"/>
                <w:color w:val="111827"/>
                <w:sz w:val="15"/>
              </w:rPr>
              <w:t>Projection zone</w:t>
            </w:r>
          </w:p>
        </w:tc>
        <w:tc>
          <w:tcPr>
            <w:tcW w:type="dxa" w:w="5112"/>
            <w:vAlign w:val="center"/>
            <w:shd w:fill="F3F4F6"/>
          </w:tcPr>
          <w:p>
            <w:pPr>
              <w:spacing w:after="0"/>
            </w:pPr>
            <w:r/>
            <w:r>
              <w:rPr>
                <w:rFonts w:ascii="Aptos" w:hAnsi="Aptos"/>
                <w:b w:val="0"/>
                <w:color w:val="111827"/>
                <w:sz w:val="15"/>
              </w:rPr>
              <w:t>Cells predicted to be reached within the longer future horizon.</w:t>
            </w:r>
          </w:p>
        </w:tc>
      </w:tr>
      <w:tr>
        <w:tc>
          <w:tcPr>
            <w:tcW w:type="dxa" w:w="5112"/>
            <w:vAlign w:val="center"/>
          </w:tcPr>
          <w:p>
            <w:pPr>
              <w:spacing w:after="0"/>
            </w:pPr>
            <w:r/>
            <w:r>
              <w:rPr>
                <w:rFonts w:ascii="Aptos" w:hAnsi="Aptos"/>
                <w:b w:val="0"/>
                <w:color w:val="111827"/>
                <w:sz w:val="15"/>
              </w:rPr>
              <w:t>Physical footprint</w:t>
            </w:r>
          </w:p>
        </w:tc>
        <w:tc>
          <w:tcPr>
            <w:tcW w:type="dxa" w:w="5112"/>
            <w:vAlign w:val="center"/>
          </w:tcPr>
          <w:p>
            <w:pPr>
              <w:spacing w:after="0"/>
            </w:pPr>
            <w:r/>
            <w:r>
              <w:rPr>
                <w:rFonts w:ascii="Aptos" w:hAnsi="Aptos"/>
                <w:b w:val="0"/>
                <w:color w:val="111827"/>
                <w:sz w:val="15"/>
              </w:rPr>
              <w:t>Model-derived fire area; a physics/model output.</w:t>
            </w:r>
          </w:p>
        </w:tc>
      </w:tr>
      <w:tr>
        <w:tc>
          <w:tcPr>
            <w:tcW w:type="dxa" w:w="5112"/>
            <w:vAlign w:val="center"/>
            <w:shd w:fill="F3F4F6"/>
          </w:tcPr>
          <w:p>
            <w:pPr>
              <w:spacing w:after="0"/>
            </w:pPr>
            <w:r/>
            <w:r>
              <w:rPr>
                <w:rFonts w:ascii="Aptos" w:hAnsi="Aptos"/>
                <w:b w:val="0"/>
                <w:color w:val="111827"/>
                <w:sz w:val="15"/>
              </w:rPr>
              <w:t>Operational buffer</w:t>
            </w:r>
          </w:p>
        </w:tc>
        <w:tc>
          <w:tcPr>
            <w:tcW w:type="dxa" w:w="5112"/>
            <w:vAlign w:val="center"/>
            <w:shd w:fill="F3F4F6"/>
          </w:tcPr>
          <w:p>
            <w:pPr>
              <w:spacing w:after="0"/>
            </w:pPr>
            <w:r/>
            <w:r>
              <w:rPr>
                <w:rFonts w:ascii="Aptos" w:hAnsi="Aptos"/>
                <w:b w:val="0"/>
                <w:color w:val="111827"/>
                <w:sz w:val="15"/>
              </w:rPr>
              <w:t>Policy-defined margin around the physical footprint; not physics.</w:t>
            </w:r>
          </w:p>
        </w:tc>
      </w:tr>
      <w:tr>
        <w:tc>
          <w:tcPr>
            <w:tcW w:type="dxa" w:w="5112"/>
            <w:vAlign w:val="center"/>
          </w:tcPr>
          <w:p>
            <w:pPr>
              <w:spacing w:after="0"/>
            </w:pPr>
            <w:r/>
            <w:r>
              <w:rPr>
                <w:rFonts w:ascii="Aptos" w:hAnsi="Aptos"/>
                <w:b w:val="0"/>
                <w:color w:val="111827"/>
                <w:sz w:val="15"/>
              </w:rPr>
              <w:t>Hazard Risk Surface</w:t>
            </w:r>
          </w:p>
        </w:tc>
        <w:tc>
          <w:tcPr>
            <w:tcW w:type="dxa" w:w="5112"/>
            <w:vAlign w:val="center"/>
          </w:tcPr>
          <w:p>
            <w:pPr>
              <w:spacing w:after="0"/>
            </w:pPr>
            <w:r/>
            <w:r>
              <w:rPr>
                <w:rFonts w:ascii="Aptos" w:hAnsi="Aptos"/>
                <w:b w:val="0"/>
                <w:color w:val="111827"/>
                <w:sz w:val="15"/>
              </w:rPr>
              <w:t>Continuous operational index over space; not probability.</w:t>
            </w:r>
          </w:p>
        </w:tc>
      </w:tr>
      <w:tr>
        <w:tc>
          <w:tcPr>
            <w:tcW w:type="dxa" w:w="5112"/>
            <w:vAlign w:val="center"/>
            <w:shd w:fill="F3F4F6"/>
          </w:tcPr>
          <w:p>
            <w:pPr>
              <w:spacing w:after="0"/>
            </w:pPr>
            <w:r/>
            <w:r>
              <w:rPr>
                <w:rFonts w:ascii="Aptos" w:hAnsi="Aptos"/>
                <w:b w:val="0"/>
                <w:color w:val="111827"/>
                <w:sz w:val="15"/>
              </w:rPr>
              <w:t>Exposure</w:t>
            </w:r>
          </w:p>
        </w:tc>
        <w:tc>
          <w:tcPr>
            <w:tcW w:type="dxa" w:w="5112"/>
            <w:vAlign w:val="center"/>
            <w:shd w:fill="F3F4F6"/>
          </w:tcPr>
          <w:p>
            <w:pPr>
              <w:spacing w:after="0"/>
            </w:pPr>
            <w:r/>
            <w:r>
              <w:rPr>
                <w:rFonts w:ascii="Aptos" w:hAnsi="Aptos"/>
                <w:b w:val="0"/>
                <w:color w:val="111827"/>
                <w:sz w:val="15"/>
              </w:rPr>
              <w:t>Population/infrastructure/citizen consequence associated with geometry; downstream concept.</w:t>
            </w:r>
          </w:p>
        </w:tc>
      </w:tr>
      <w:tr>
        <w:tc>
          <w:tcPr>
            <w:tcW w:type="dxa" w:w="5112"/>
            <w:vAlign w:val="center"/>
          </w:tcPr>
          <w:p>
            <w:pPr>
              <w:spacing w:after="0"/>
            </w:pPr>
            <w:r/>
            <w:r>
              <w:rPr>
                <w:rFonts w:ascii="Aptos" w:hAnsi="Aptos"/>
                <w:b w:val="0"/>
                <w:color w:val="111827"/>
                <w:sz w:val="15"/>
              </w:rPr>
              <w:t>Simulation domain</w:t>
            </w:r>
          </w:p>
        </w:tc>
        <w:tc>
          <w:tcPr>
            <w:tcW w:type="dxa" w:w="5112"/>
            <w:vAlign w:val="center"/>
          </w:tcPr>
          <w:p>
            <w:pPr>
              <w:spacing w:after="0"/>
            </w:pPr>
            <w:r/>
            <w:r>
              <w:rPr>
                <w:rFonts w:ascii="Aptos" w:hAnsi="Aptos"/>
                <w:b w:val="0"/>
                <w:color w:val="111827"/>
                <w:sz w:val="15"/>
              </w:rPr>
              <w:t>Finite spatial region within which propagation is computed.</w:t>
            </w:r>
          </w:p>
        </w:tc>
      </w:tr>
    </w:tbl>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Naming rule</w:t>
              <w:br/>
            </w:r>
            <w:r>
              <w:rPr>
                <w:sz w:val="17"/>
              </w:rPr>
              <w:t>The UI and API must use 'physical footprint' when referring to arrival-time-derived fire geometry and 'operational buffer' when referring to a policy margin. Never call a policy buffer 'the fire footprint.'</w:t>
            </w:r>
          </w:p>
        </w:tc>
      </w:tr>
    </w:tbl>
    <w:p/>
    <w:p>
      <w:pPr>
        <w:pStyle w:val="Heading1"/>
      </w:pPr>
      <w:r>
        <w:t>3. Input Contract</w:t>
      </w:r>
    </w:p>
    <w:p>
      <w:pPr>
        <w:pStyle w:val="Heading2"/>
      </w:pPr>
      <w:r>
        <w:t>3.1 Required input categories</w:t>
      </w:r>
    </w:p>
    <w:tbl>
      <w:tblPr>
        <w:tblStyle w:val="TableGrid"/>
        <w:tblW w:type="auto" w:w="0"/>
        <w:jc w:val="center"/>
        <w:tblLook w:firstColumn="1" w:firstRow="1" w:lastColumn="0" w:lastRow="0" w:noHBand="0" w:noVBand="1" w:val="04A0"/>
      </w:tblPr>
      <w:tblGrid>
        <w:gridCol w:w="2556"/>
        <w:gridCol w:w="2556"/>
        <w:gridCol w:w="2556"/>
        <w:gridCol w:w="2556"/>
      </w:tblGrid>
      <w:tr>
        <w:trPr>
          <w:tblHeader/>
        </w:trPr>
        <w:tc>
          <w:tcPr>
            <w:tcW w:type="dxa" w:w="2556"/>
            <w:vAlign w:val="center"/>
            <w:shd w:fill="0B5A75"/>
          </w:tcPr>
          <w:p>
            <w:pPr>
              <w:spacing w:after="0"/>
            </w:pPr>
            <w:r/>
            <w:r>
              <w:rPr>
                <w:rFonts w:ascii="Aptos" w:hAnsi="Aptos"/>
                <w:b/>
                <w:color w:val="FFFFFF"/>
                <w:sz w:val="15"/>
              </w:rPr>
              <w:t>Input</w:t>
            </w:r>
          </w:p>
        </w:tc>
        <w:tc>
          <w:tcPr>
            <w:tcW w:type="dxa" w:w="2556"/>
            <w:vAlign w:val="center"/>
            <w:shd w:fill="0B5A75"/>
          </w:tcPr>
          <w:p>
            <w:pPr>
              <w:spacing w:after="0"/>
            </w:pPr>
            <w:r/>
            <w:r>
              <w:rPr>
                <w:rFonts w:ascii="Aptos" w:hAnsi="Aptos"/>
                <w:b/>
                <w:color w:val="FFFFFF"/>
                <w:sz w:val="15"/>
              </w:rPr>
              <w:t>Required</w:t>
            </w:r>
          </w:p>
        </w:tc>
        <w:tc>
          <w:tcPr>
            <w:tcW w:type="dxa" w:w="2556"/>
            <w:vAlign w:val="center"/>
            <w:shd w:fill="0B5A75"/>
          </w:tcPr>
          <w:p>
            <w:pPr>
              <w:spacing w:after="0"/>
            </w:pPr>
            <w:r/>
            <w:r>
              <w:rPr>
                <w:rFonts w:ascii="Aptos" w:hAnsi="Aptos"/>
                <w:b/>
                <w:color w:val="FFFFFF"/>
                <w:sz w:val="15"/>
              </w:rPr>
              <w:t>Source</w:t>
            </w:r>
          </w:p>
        </w:tc>
        <w:tc>
          <w:tcPr>
            <w:tcW w:type="dxa" w:w="2556"/>
            <w:vAlign w:val="center"/>
            <w:shd w:fill="0B5A75"/>
          </w:tcPr>
          <w:p>
            <w:pPr>
              <w:spacing w:after="0"/>
            </w:pPr>
            <w:r/>
            <w:r>
              <w:rPr>
                <w:rFonts w:ascii="Aptos" w:hAnsi="Aptos"/>
                <w:b/>
                <w:color w:val="FFFFFF"/>
                <w:sz w:val="15"/>
              </w:rPr>
              <w:t>Purpose</w:t>
            </w:r>
          </w:p>
        </w:tc>
      </w:tr>
      <w:tr>
        <w:tc>
          <w:tcPr>
            <w:tcW w:type="dxa" w:w="2556"/>
            <w:vAlign w:val="center"/>
          </w:tcPr>
          <w:p>
            <w:pPr>
              <w:spacing w:after="0"/>
            </w:pPr>
            <w:r/>
            <w:r>
              <w:rPr>
                <w:rFonts w:ascii="Aptos" w:hAnsi="Aptos"/>
                <w:b w:val="0"/>
                <w:color w:val="111827"/>
                <w:sz w:val="15"/>
              </w:rPr>
              <w:t>Ignition point</w:t>
            </w:r>
          </w:p>
        </w:tc>
        <w:tc>
          <w:tcPr>
            <w:tcW w:type="dxa" w:w="2556"/>
            <w:vAlign w:val="center"/>
          </w:tcPr>
          <w:p>
            <w:pPr>
              <w:spacing w:after="0"/>
            </w:pPr>
            <w:r/>
            <w:r>
              <w:rPr>
                <w:rFonts w:ascii="Aptos" w:hAnsi="Aptos"/>
                <w:b w:val="0"/>
                <w:color w:val="111827"/>
                <w:sz w:val="15"/>
              </w:rPr>
              <w:t>YES</w:t>
            </w:r>
          </w:p>
        </w:tc>
        <w:tc>
          <w:tcPr>
            <w:tcW w:type="dxa" w:w="2556"/>
            <w:vAlign w:val="center"/>
          </w:tcPr>
          <w:p>
            <w:pPr>
              <w:spacing w:after="0"/>
            </w:pPr>
            <w:r/>
            <w:r>
              <w:rPr>
                <w:rFonts w:ascii="Aptos" w:hAnsi="Aptos"/>
                <w:b w:val="0"/>
                <w:color w:val="111827"/>
                <w:sz w:val="15"/>
              </w:rPr>
              <w:t>Incident/node location</w:t>
            </w:r>
          </w:p>
        </w:tc>
        <w:tc>
          <w:tcPr>
            <w:tcW w:type="dxa" w:w="2556"/>
            <w:vAlign w:val="center"/>
          </w:tcPr>
          <w:p>
            <w:pPr>
              <w:spacing w:after="0"/>
            </w:pPr>
            <w:r/>
            <w:r>
              <w:rPr>
                <w:rFonts w:ascii="Aptos" w:hAnsi="Aptos"/>
                <w:b w:val="0"/>
                <w:color w:val="111827"/>
                <w:sz w:val="15"/>
              </w:rPr>
              <w:t>Seed cell.</w:t>
            </w:r>
          </w:p>
        </w:tc>
      </w:tr>
      <w:tr>
        <w:tc>
          <w:tcPr>
            <w:tcW w:type="dxa" w:w="2556"/>
            <w:vAlign w:val="center"/>
            <w:shd w:fill="F3F4F6"/>
          </w:tcPr>
          <w:p>
            <w:pPr>
              <w:spacing w:after="0"/>
            </w:pPr>
            <w:r/>
            <w:r>
              <w:rPr>
                <w:rFonts w:ascii="Aptos" w:hAnsi="Aptos"/>
                <w:b w:val="0"/>
                <w:color w:val="111827"/>
                <w:sz w:val="15"/>
              </w:rPr>
              <w:t>Simulation CRS</w:t>
            </w:r>
          </w:p>
        </w:tc>
        <w:tc>
          <w:tcPr>
            <w:tcW w:type="dxa" w:w="2556"/>
            <w:vAlign w:val="center"/>
            <w:shd w:fill="F3F4F6"/>
          </w:tcPr>
          <w:p>
            <w:pPr>
              <w:spacing w:after="0"/>
            </w:pPr>
            <w:r/>
            <w:r>
              <w:rPr>
                <w:rFonts w:ascii="Aptos" w:hAnsi="Aptos"/>
                <w:b w:val="0"/>
                <w:color w:val="111827"/>
                <w:sz w:val="15"/>
              </w:rPr>
              <w:t>YES</w:t>
            </w:r>
          </w:p>
        </w:tc>
        <w:tc>
          <w:tcPr>
            <w:tcW w:type="dxa" w:w="2556"/>
            <w:vAlign w:val="center"/>
            <w:shd w:fill="F3F4F6"/>
          </w:tcPr>
          <w:p>
            <w:pPr>
              <w:spacing w:after="0"/>
            </w:pPr>
            <w:r/>
            <w:r>
              <w:rPr>
                <w:rFonts w:ascii="Aptos" w:hAnsi="Aptos"/>
                <w:b w:val="0"/>
                <w:color w:val="111827"/>
                <w:sz w:val="15"/>
              </w:rPr>
              <w:t>Configuration</w:t>
            </w:r>
          </w:p>
        </w:tc>
        <w:tc>
          <w:tcPr>
            <w:tcW w:type="dxa" w:w="2556"/>
            <w:vAlign w:val="center"/>
            <w:shd w:fill="F3F4F6"/>
          </w:tcPr>
          <w:p>
            <w:pPr>
              <w:spacing w:after="0"/>
            </w:pPr>
            <w:r/>
            <w:r>
              <w:rPr>
                <w:rFonts w:ascii="Aptos" w:hAnsi="Aptos"/>
                <w:b w:val="0"/>
                <w:color w:val="111827"/>
                <w:sz w:val="15"/>
              </w:rPr>
              <w:t>Distance/area-safe spatial operations.</w:t>
            </w:r>
          </w:p>
        </w:tc>
      </w:tr>
      <w:tr>
        <w:tc>
          <w:tcPr>
            <w:tcW w:type="dxa" w:w="2556"/>
            <w:vAlign w:val="center"/>
          </w:tcPr>
          <w:p>
            <w:pPr>
              <w:spacing w:after="0"/>
            </w:pPr>
            <w:r/>
            <w:r>
              <w:rPr>
                <w:rFonts w:ascii="Aptos" w:hAnsi="Aptos"/>
                <w:b w:val="0"/>
                <w:color w:val="111827"/>
                <w:sz w:val="15"/>
              </w:rPr>
              <w:t>Grid/domain</w:t>
            </w:r>
          </w:p>
        </w:tc>
        <w:tc>
          <w:tcPr>
            <w:tcW w:type="dxa" w:w="2556"/>
            <w:vAlign w:val="center"/>
          </w:tcPr>
          <w:p>
            <w:pPr>
              <w:spacing w:after="0"/>
            </w:pPr>
            <w:r/>
            <w:r>
              <w:rPr>
                <w:rFonts w:ascii="Aptos" w:hAnsi="Aptos"/>
                <w:b w:val="0"/>
                <w:color w:val="111827"/>
                <w:sz w:val="15"/>
              </w:rPr>
              <w:t>YES</w:t>
            </w:r>
          </w:p>
        </w:tc>
        <w:tc>
          <w:tcPr>
            <w:tcW w:type="dxa" w:w="2556"/>
            <w:vAlign w:val="center"/>
          </w:tcPr>
          <w:p>
            <w:pPr>
              <w:spacing w:after="0"/>
            </w:pPr>
            <w:r/>
            <w:r>
              <w:rPr>
                <w:rFonts w:ascii="Aptos" w:hAnsi="Aptos"/>
                <w:b w:val="0"/>
                <w:color w:val="111827"/>
                <w:sz w:val="15"/>
              </w:rPr>
              <w:t>Configuration/geospatial preprocessing</w:t>
            </w:r>
          </w:p>
        </w:tc>
        <w:tc>
          <w:tcPr>
            <w:tcW w:type="dxa" w:w="2556"/>
            <w:vAlign w:val="center"/>
          </w:tcPr>
          <w:p>
            <w:pPr>
              <w:spacing w:after="0"/>
            </w:pPr>
            <w:r/>
            <w:r>
              <w:rPr>
                <w:rFonts w:ascii="Aptos" w:hAnsi="Aptos"/>
                <w:b w:val="0"/>
                <w:color w:val="111827"/>
                <w:sz w:val="15"/>
              </w:rPr>
              <w:t>Cell topology and extent.</w:t>
            </w:r>
          </w:p>
        </w:tc>
      </w:tr>
      <w:tr>
        <w:tc>
          <w:tcPr>
            <w:tcW w:type="dxa" w:w="2556"/>
            <w:vAlign w:val="center"/>
            <w:shd w:fill="F3F4F6"/>
          </w:tcPr>
          <w:p>
            <w:pPr>
              <w:spacing w:after="0"/>
            </w:pPr>
            <w:r/>
            <w:r>
              <w:rPr>
                <w:rFonts w:ascii="Aptos" w:hAnsi="Aptos"/>
                <w:b w:val="0"/>
                <w:color w:val="111827"/>
                <w:sz w:val="15"/>
              </w:rPr>
              <w:t>DEM / elevation</w:t>
            </w:r>
          </w:p>
        </w:tc>
        <w:tc>
          <w:tcPr>
            <w:tcW w:type="dxa" w:w="2556"/>
            <w:vAlign w:val="center"/>
            <w:shd w:fill="F3F4F6"/>
          </w:tcPr>
          <w:p>
            <w:pPr>
              <w:spacing w:after="0"/>
            </w:pPr>
            <w:r/>
            <w:r>
              <w:rPr>
                <w:rFonts w:ascii="Aptos" w:hAnsi="Aptos"/>
                <w:b w:val="0"/>
                <w:color w:val="111827"/>
                <w:sz w:val="15"/>
              </w:rPr>
              <w:t>YES for claimed slope modeling</w:t>
            </w:r>
          </w:p>
        </w:tc>
        <w:tc>
          <w:tcPr>
            <w:tcW w:type="dxa" w:w="2556"/>
            <w:vAlign w:val="center"/>
            <w:shd w:fill="F3F4F6"/>
          </w:tcPr>
          <w:p>
            <w:pPr>
              <w:spacing w:after="0"/>
            </w:pPr>
            <w:r/>
            <w:r>
              <w:rPr>
                <w:rFonts w:ascii="Aptos" w:hAnsi="Aptos"/>
                <w:b w:val="0"/>
                <w:color w:val="111827"/>
                <w:sz w:val="15"/>
              </w:rPr>
              <w:t>Preprocessed dataset</w:t>
            </w:r>
          </w:p>
        </w:tc>
        <w:tc>
          <w:tcPr>
            <w:tcW w:type="dxa" w:w="2556"/>
            <w:vAlign w:val="center"/>
            <w:shd w:fill="F3F4F6"/>
          </w:tcPr>
          <w:p>
            <w:pPr>
              <w:spacing w:after="0"/>
            </w:pPr>
            <w:r/>
            <w:r>
              <w:rPr>
                <w:rFonts w:ascii="Aptos" w:hAnsi="Aptos"/>
                <w:b w:val="0"/>
                <w:color w:val="111827"/>
                <w:sz w:val="15"/>
              </w:rPr>
              <w:t>Slope/aspect.</w:t>
            </w:r>
          </w:p>
        </w:tc>
      </w:tr>
      <w:tr>
        <w:tc>
          <w:tcPr>
            <w:tcW w:type="dxa" w:w="2556"/>
            <w:vAlign w:val="center"/>
          </w:tcPr>
          <w:p>
            <w:pPr>
              <w:spacing w:after="0"/>
            </w:pPr>
            <w:r/>
            <w:r>
              <w:rPr>
                <w:rFonts w:ascii="Aptos" w:hAnsi="Aptos"/>
                <w:b w:val="0"/>
                <w:color w:val="111827"/>
                <w:sz w:val="15"/>
              </w:rPr>
              <w:t>Fuel class</w:t>
            </w:r>
          </w:p>
        </w:tc>
        <w:tc>
          <w:tcPr>
            <w:tcW w:type="dxa" w:w="2556"/>
            <w:vAlign w:val="center"/>
          </w:tcPr>
          <w:p>
            <w:pPr>
              <w:spacing w:after="0"/>
            </w:pPr>
            <w:r/>
            <w:r>
              <w:rPr>
                <w:rFonts w:ascii="Aptos" w:hAnsi="Aptos"/>
                <w:b w:val="0"/>
                <w:color w:val="111827"/>
                <w:sz w:val="15"/>
              </w:rPr>
              <w:t>YES</w:t>
            </w:r>
          </w:p>
        </w:tc>
        <w:tc>
          <w:tcPr>
            <w:tcW w:type="dxa" w:w="2556"/>
            <w:vAlign w:val="center"/>
          </w:tcPr>
          <w:p>
            <w:pPr>
              <w:spacing w:after="0"/>
            </w:pPr>
            <w:r/>
            <w:r>
              <w:rPr>
                <w:rFonts w:ascii="Aptos" w:hAnsi="Aptos"/>
                <w:b w:val="0"/>
                <w:color w:val="111827"/>
                <w:sz w:val="15"/>
              </w:rPr>
              <w:t>Preprocessed configuration/raster</w:t>
            </w:r>
          </w:p>
        </w:tc>
        <w:tc>
          <w:tcPr>
            <w:tcW w:type="dxa" w:w="2556"/>
            <w:vAlign w:val="center"/>
          </w:tcPr>
          <w:p>
            <w:pPr>
              <w:spacing w:after="0"/>
            </w:pPr>
            <w:r/>
            <w:r>
              <w:rPr>
                <w:rFonts w:ascii="Aptos" w:hAnsi="Aptos"/>
                <w:b w:val="0"/>
                <w:color w:val="111827"/>
                <w:sz w:val="15"/>
              </w:rPr>
              <w:t>Base spread behavior.</w:t>
            </w:r>
          </w:p>
        </w:tc>
      </w:tr>
      <w:tr>
        <w:tc>
          <w:tcPr>
            <w:tcW w:type="dxa" w:w="2556"/>
            <w:vAlign w:val="center"/>
            <w:shd w:fill="F3F4F6"/>
          </w:tcPr>
          <w:p>
            <w:pPr>
              <w:spacing w:after="0"/>
            </w:pPr>
            <w:r/>
            <w:r>
              <w:rPr>
                <w:rFonts w:ascii="Aptos" w:hAnsi="Aptos"/>
                <w:b w:val="0"/>
                <w:color w:val="111827"/>
                <w:sz w:val="15"/>
              </w:rPr>
              <w:t>Fuel moisture/context</w:t>
            </w:r>
          </w:p>
        </w:tc>
        <w:tc>
          <w:tcPr>
            <w:tcW w:type="dxa" w:w="2556"/>
            <w:vAlign w:val="center"/>
            <w:shd w:fill="F3F4F6"/>
          </w:tcPr>
          <w:p>
            <w:pPr>
              <w:spacing w:after="0"/>
            </w:pPr>
            <w:r/>
            <w:r>
              <w:rPr>
                <w:rFonts w:ascii="Aptos" w:hAnsi="Aptos"/>
                <w:b w:val="0"/>
                <w:color w:val="111827"/>
                <w:sz w:val="15"/>
              </w:rPr>
              <w:t>YES for moisture-aware output</w:t>
            </w:r>
          </w:p>
        </w:tc>
        <w:tc>
          <w:tcPr>
            <w:tcW w:type="dxa" w:w="2556"/>
            <w:vAlign w:val="center"/>
            <w:shd w:fill="F3F4F6"/>
          </w:tcPr>
          <w:p>
            <w:pPr>
              <w:spacing w:after="0"/>
            </w:pPr>
            <w:r/>
            <w:r>
              <w:rPr>
                <w:rFonts w:ascii="Aptos" w:hAnsi="Aptos"/>
                <w:b w:val="0"/>
                <w:color w:val="111827"/>
                <w:sz w:val="15"/>
              </w:rPr>
              <w:t>Environmental context / proxy</w:t>
            </w:r>
          </w:p>
        </w:tc>
        <w:tc>
          <w:tcPr>
            <w:tcW w:type="dxa" w:w="2556"/>
            <w:vAlign w:val="center"/>
            <w:shd w:fill="F3F4F6"/>
          </w:tcPr>
          <w:p>
            <w:pPr>
              <w:spacing w:after="0"/>
            </w:pPr>
            <w:r/>
            <w:r>
              <w:rPr>
                <w:rFonts w:ascii="Aptos" w:hAnsi="Aptos"/>
                <w:b w:val="0"/>
                <w:color w:val="111827"/>
                <w:sz w:val="15"/>
              </w:rPr>
              <w:t>Moisture suppression.</w:t>
            </w:r>
          </w:p>
        </w:tc>
      </w:tr>
      <w:tr>
        <w:tc>
          <w:tcPr>
            <w:tcW w:type="dxa" w:w="2556"/>
            <w:vAlign w:val="center"/>
          </w:tcPr>
          <w:p>
            <w:pPr>
              <w:spacing w:after="0"/>
            </w:pPr>
            <w:r/>
            <w:r>
              <w:rPr>
                <w:rFonts w:ascii="Aptos" w:hAnsi="Aptos"/>
                <w:b w:val="0"/>
                <w:color w:val="111827"/>
                <w:sz w:val="15"/>
              </w:rPr>
              <w:t>Wind speed</w:t>
            </w:r>
          </w:p>
        </w:tc>
        <w:tc>
          <w:tcPr>
            <w:tcW w:type="dxa" w:w="2556"/>
            <w:vAlign w:val="center"/>
          </w:tcPr>
          <w:p>
            <w:pPr>
              <w:spacing w:after="0"/>
            </w:pPr>
            <w:r/>
            <w:r>
              <w:rPr>
                <w:rFonts w:ascii="Aptos" w:hAnsi="Aptos"/>
                <w:b w:val="0"/>
                <w:color w:val="111827"/>
                <w:sz w:val="15"/>
              </w:rPr>
              <w:t>YES for wind-aware output</w:t>
            </w:r>
          </w:p>
        </w:tc>
        <w:tc>
          <w:tcPr>
            <w:tcW w:type="dxa" w:w="2556"/>
            <w:vAlign w:val="center"/>
          </w:tcPr>
          <w:p>
            <w:pPr>
              <w:spacing w:after="0"/>
            </w:pPr>
            <w:r/>
            <w:r>
              <w:rPr>
                <w:rFonts w:ascii="Aptos" w:hAnsi="Aptos"/>
                <w:b w:val="0"/>
                <w:color w:val="111827"/>
                <w:sz w:val="15"/>
              </w:rPr>
              <w:t>Sensor/external context/configured assumption</w:t>
            </w:r>
          </w:p>
        </w:tc>
        <w:tc>
          <w:tcPr>
            <w:tcW w:type="dxa" w:w="2556"/>
            <w:vAlign w:val="center"/>
          </w:tcPr>
          <w:p>
            <w:pPr>
              <w:spacing w:after="0"/>
            </w:pPr>
            <w:r/>
            <w:r>
              <w:rPr>
                <w:rFonts w:ascii="Aptos" w:hAnsi="Aptos"/>
                <w:b w:val="0"/>
                <w:color w:val="111827"/>
                <w:sz w:val="15"/>
              </w:rPr>
              <w:t>Wind forcing.</w:t>
            </w:r>
          </w:p>
        </w:tc>
      </w:tr>
      <w:tr>
        <w:tc>
          <w:tcPr>
            <w:tcW w:type="dxa" w:w="2556"/>
            <w:vAlign w:val="center"/>
            <w:shd w:fill="F3F4F6"/>
          </w:tcPr>
          <w:p>
            <w:pPr>
              <w:spacing w:after="0"/>
            </w:pPr>
            <w:r/>
            <w:r>
              <w:rPr>
                <w:rFonts w:ascii="Aptos" w:hAnsi="Aptos"/>
                <w:b w:val="0"/>
                <w:color w:val="111827"/>
                <w:sz w:val="15"/>
              </w:rPr>
              <w:t>Wind direction</w:t>
            </w:r>
          </w:p>
        </w:tc>
        <w:tc>
          <w:tcPr>
            <w:tcW w:type="dxa" w:w="2556"/>
            <w:vAlign w:val="center"/>
            <w:shd w:fill="F3F4F6"/>
          </w:tcPr>
          <w:p>
            <w:pPr>
              <w:spacing w:after="0"/>
            </w:pPr>
            <w:r/>
            <w:r>
              <w:rPr>
                <w:rFonts w:ascii="Aptos" w:hAnsi="Aptos"/>
                <w:b w:val="0"/>
                <w:color w:val="111827"/>
                <w:sz w:val="15"/>
              </w:rPr>
              <w:t>YES for directional wind</w:t>
            </w:r>
          </w:p>
        </w:tc>
        <w:tc>
          <w:tcPr>
            <w:tcW w:type="dxa" w:w="2556"/>
            <w:vAlign w:val="center"/>
            <w:shd w:fill="F3F4F6"/>
          </w:tcPr>
          <w:p>
            <w:pPr>
              <w:spacing w:after="0"/>
            </w:pPr>
            <w:r/>
            <w:r>
              <w:rPr>
                <w:rFonts w:ascii="Aptos" w:hAnsi="Aptos"/>
                <w:b w:val="0"/>
                <w:color w:val="111827"/>
                <w:sz w:val="15"/>
              </w:rPr>
              <w:t>Sensor/external context/configured assumption</w:t>
            </w:r>
          </w:p>
        </w:tc>
        <w:tc>
          <w:tcPr>
            <w:tcW w:type="dxa" w:w="2556"/>
            <w:vAlign w:val="center"/>
            <w:shd w:fill="F3F4F6"/>
          </w:tcPr>
          <w:p>
            <w:pPr>
              <w:spacing w:after="0"/>
            </w:pPr>
            <w:r/>
            <w:r>
              <w:rPr>
                <w:rFonts w:ascii="Aptos" w:hAnsi="Aptos"/>
                <w:b w:val="0"/>
                <w:color w:val="111827"/>
                <w:sz w:val="15"/>
              </w:rPr>
              <w:t>Propagation direction.</w:t>
            </w:r>
          </w:p>
        </w:tc>
      </w:tr>
      <w:tr>
        <w:tc>
          <w:tcPr>
            <w:tcW w:type="dxa" w:w="2556"/>
            <w:vAlign w:val="center"/>
          </w:tcPr>
          <w:p>
            <w:pPr>
              <w:spacing w:after="0"/>
            </w:pPr>
            <w:r/>
            <w:r>
              <w:rPr>
                <w:rFonts w:ascii="Aptos" w:hAnsi="Aptos"/>
                <w:b w:val="0"/>
                <w:color w:val="111827"/>
                <w:sz w:val="15"/>
              </w:rPr>
              <w:t>Current time</w:t>
            </w:r>
          </w:p>
        </w:tc>
        <w:tc>
          <w:tcPr>
            <w:tcW w:type="dxa" w:w="2556"/>
            <w:vAlign w:val="center"/>
          </w:tcPr>
          <w:p>
            <w:pPr>
              <w:spacing w:after="0"/>
            </w:pPr>
            <w:r/>
            <w:r>
              <w:rPr>
                <w:rFonts w:ascii="Aptos" w:hAnsi="Aptos"/>
                <w:b w:val="0"/>
                <w:color w:val="111827"/>
                <w:sz w:val="15"/>
              </w:rPr>
              <w:t>YES</w:t>
            </w:r>
          </w:p>
        </w:tc>
        <w:tc>
          <w:tcPr>
            <w:tcW w:type="dxa" w:w="2556"/>
            <w:vAlign w:val="center"/>
          </w:tcPr>
          <w:p>
            <w:pPr>
              <w:spacing w:after="0"/>
            </w:pPr>
            <w:r/>
            <w:r>
              <w:rPr>
                <w:rFonts w:ascii="Aptos" w:hAnsi="Aptos"/>
                <w:b w:val="0"/>
                <w:color w:val="111827"/>
                <w:sz w:val="15"/>
              </w:rPr>
              <w:t>Simulation clock</w:t>
            </w:r>
          </w:p>
        </w:tc>
        <w:tc>
          <w:tcPr>
            <w:tcW w:type="dxa" w:w="2556"/>
            <w:vAlign w:val="center"/>
          </w:tcPr>
          <w:p>
            <w:pPr>
              <w:spacing w:after="0"/>
            </w:pPr>
            <w:r/>
            <w:r>
              <w:rPr>
                <w:rFonts w:ascii="Aptos" w:hAnsi="Aptos"/>
                <w:b w:val="0"/>
                <w:color w:val="111827"/>
                <w:sz w:val="15"/>
              </w:rPr>
              <w:t>Current footprint extraction.</w:t>
            </w:r>
          </w:p>
        </w:tc>
      </w:tr>
      <w:tr>
        <w:tc>
          <w:tcPr>
            <w:tcW w:type="dxa" w:w="2556"/>
            <w:vAlign w:val="center"/>
            <w:shd w:fill="F3F4F6"/>
          </w:tcPr>
          <w:p>
            <w:pPr>
              <w:spacing w:after="0"/>
            </w:pPr>
            <w:r/>
            <w:r>
              <w:rPr>
                <w:rFonts w:ascii="Aptos" w:hAnsi="Aptos"/>
                <w:b w:val="0"/>
                <w:color w:val="111827"/>
                <w:sz w:val="15"/>
              </w:rPr>
              <w:t>Projection horizons</w:t>
            </w:r>
          </w:p>
        </w:tc>
        <w:tc>
          <w:tcPr>
            <w:tcW w:type="dxa" w:w="2556"/>
            <w:vAlign w:val="center"/>
            <w:shd w:fill="F3F4F6"/>
          </w:tcPr>
          <w:p>
            <w:pPr>
              <w:spacing w:after="0"/>
            </w:pPr>
            <w:r/>
            <w:r>
              <w:rPr>
                <w:rFonts w:ascii="Aptos" w:hAnsi="Aptos"/>
                <w:b w:val="0"/>
                <w:color w:val="111827"/>
                <w:sz w:val="15"/>
              </w:rPr>
              <w:t>YES</w:t>
            </w:r>
          </w:p>
        </w:tc>
        <w:tc>
          <w:tcPr>
            <w:tcW w:type="dxa" w:w="2556"/>
            <w:vAlign w:val="center"/>
            <w:shd w:fill="F3F4F6"/>
          </w:tcPr>
          <w:p>
            <w:pPr>
              <w:spacing w:after="0"/>
            </w:pPr>
            <w:r/>
            <w:r>
              <w:rPr>
                <w:rFonts w:ascii="Aptos" w:hAnsi="Aptos"/>
                <w:b w:val="0"/>
                <w:color w:val="111827"/>
                <w:sz w:val="15"/>
              </w:rPr>
              <w:t>Configuration</w:t>
            </w:r>
          </w:p>
        </w:tc>
        <w:tc>
          <w:tcPr>
            <w:tcW w:type="dxa" w:w="2556"/>
            <w:vAlign w:val="center"/>
            <w:shd w:fill="F3F4F6"/>
          </w:tcPr>
          <w:p>
            <w:pPr>
              <w:spacing w:after="0"/>
            </w:pPr>
            <w:r/>
            <w:r>
              <w:rPr>
                <w:rFonts w:ascii="Aptos" w:hAnsi="Aptos"/>
                <w:b w:val="0"/>
                <w:color w:val="111827"/>
                <w:sz w:val="15"/>
              </w:rPr>
              <w:t>Warning/projection extraction.</w:t>
            </w:r>
          </w:p>
        </w:tc>
      </w:tr>
    </w:tbl>
    <w:p/>
    <w:p>
      <w:pPr>
        <w:pStyle w:val="Heading2"/>
      </w:pPr>
      <w:r>
        <w:t>3.2 Optional/advanced inputs</w:t>
      </w:r>
    </w:p>
    <w:p>
      <w:pPr>
        <w:pStyle w:val="ListBullet"/>
        <w:spacing w:after="40"/>
      </w:pPr>
      <w:r>
        <w:t>Higher-resolution fuel behavior.</w:t>
      </w:r>
    </w:p>
    <w:p>
      <w:pPr>
        <w:pStyle w:val="ListBullet"/>
        <w:spacing w:after="40"/>
      </w:pPr>
      <w:r>
        <w:t>Live weather updates.</w:t>
      </w:r>
    </w:p>
    <w:p>
      <w:pPr>
        <w:pStyle w:val="ListBullet"/>
        <w:spacing w:after="40"/>
      </w:pPr>
      <w:r>
        <w:t>External observational evidence.</w:t>
      </w:r>
    </w:p>
    <w:p>
      <w:pPr>
        <w:pStyle w:val="ListBullet"/>
        <w:spacing w:after="40"/>
      </w:pPr>
      <w:r>
        <w:t>More detailed canopy/wind-reduction information.</w:t>
      </w:r>
    </w:p>
    <w:p>
      <w:pPr>
        <w:pStyle w:val="ListBullet"/>
        <w:spacing w:after="40"/>
      </w:pPr>
      <w:r>
        <w:t>Additional infrastructure/context layers.</w:t>
      </w:r>
    </w:p>
    <w:p>
      <w:pPr>
        <w:pStyle w:val="Heading2"/>
      </w:pPr>
      <w:r>
        <w:t>3.3 Canonical cell model</w:t>
      </w:r>
    </w:p>
    <w:p>
      <w:pPr>
        <w:pStyle w:val="CodeBlock"/>
        <w:shd w:fill="F8FAFC"/>
      </w:pPr>
      <w:r>
        <w:t>Cell</w:t>
        <w:br/>
        <w:t xml:space="preserve">  cell_id</w:t>
        <w:br/>
        <w:t xml:space="preserve">  row</w:t>
        <w:br/>
        <w:t xml:space="preserve">  col</w:t>
        <w:br/>
        <w:t xml:space="preserve">  x</w:t>
        <w:br/>
        <w:t xml:space="preserve">  y</w:t>
        <w:br/>
        <w:t xml:space="preserve">  lat</w:t>
        <w:br/>
        <w:t xml:space="preserve">  lon</w:t>
        <w:br/>
        <w:t xml:space="preserve">  elevation_m</w:t>
        <w:br/>
        <w:t xml:space="preserve">  slope_rad</w:t>
        <w:br/>
        <w:t xml:space="preserve">  aspect_rad</w:t>
        <w:br/>
        <w:t xml:space="preserve">  fuel_model</w:t>
        <w:br/>
        <w:t xml:space="preserve">  fuel_class</w:t>
        <w:br/>
        <w:t xml:space="preserve">  burnable</w:t>
        <w:br/>
        <w:t xml:space="preserve">  moisture_index</w:t>
        <w:br/>
        <w:t xml:space="preserve">  base_ros</w:t>
        <w:br/>
        <w:t xml:space="preserve">  arrival_time_s</w:t>
        <w:br/>
        <w:t xml:space="preserve">  state</w:t>
        <w:br/>
        <w:t xml:space="preserve">  ignition_time_s</w:t>
        <w:br/>
        <w:t xml:space="preserve">  burn_time_s</w:t>
        <w:br/>
        <w:t xml:space="preserve">  local_ros_features</w:t>
        <w:br/>
        <w:t xml:space="preserve">  local_risk</w:t>
        <w:br/>
      </w:r>
    </w:p>
    <w:p>
      <w:r>
        <w:t>The backend may use a more optimized internal representation (NumPy arrays, raster arrays, typed structs) rather than this object layout. The semantic fields remain canonical.</w:t>
      </w:r>
    </w:p>
    <w:p>
      <w:pPr>
        <w:pStyle w:val="Heading1"/>
      </w:pPr>
      <w:r>
        <w:t>4. Coordinate Reference System &amp; Spatial Units</w:t>
      </w:r>
    </w:p>
    <w:p>
      <w:pPr>
        <w:pStyle w:val="Heading2"/>
      </w:pPr>
      <w:r>
        <w:t>4.1 Non-negotiable geospatial rule</w:t>
      </w:r>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Never treat degrees as metres</w:t>
              <w:br/>
            </w:r>
            <w:r>
              <w:rPr>
                <w:sz w:val="17"/>
              </w:rPr>
              <w:t>Raw latitude/longitude is geographic angular coordinate data. All grid spacing, distance, spread-rate, buffering, polygon area and route geometry calculations that require metric units MUST use an appropriate projected CRS or an explicit geodesic method.</w:t>
            </w:r>
          </w:p>
        </w:tc>
      </w:tr>
    </w:tbl>
    <w:p/>
    <w:p>
      <w:pPr>
        <w:pStyle w:val="Heading2"/>
      </w:pPr>
      <w:r>
        <w:t>4.2 Recommended V1 strategy</w:t>
      </w:r>
    </w:p>
    <w:p>
      <w:r>
        <w:t>Reproject the demo region into a local metric projected CRS suitable for the region (for example, the correct UTM zone for the chosen demo location). Keep WGS84 latitude/longitude for external identity and display, but use the projected coordinate system for simulation geometry and metric calculations.</w:t>
      </w:r>
    </w:p>
    <w:p>
      <w:pPr>
        <w:pStyle w:val="Heading2"/>
      </w:pPr>
      <w:r>
        <w:t>4.3 Required transformations</w:t>
      </w:r>
    </w:p>
    <w:p>
      <w:pPr>
        <w:pStyle w:val="CodeBlock"/>
        <w:shd w:fill="F8FAFC"/>
      </w:pPr>
      <w:r>
        <w:t>Input:</w:t>
        <w:br/>
        <w:t xml:space="preserve">  WGS84 (lat/lon)</w:t>
        <w:br/>
        <w:t xml:space="preserve">      ↓</w:t>
        <w:br/>
        <w:t>Project to local metric CRS</w:t>
        <w:br/>
        <w:t xml:space="preserve">      ↓</w:t>
        <w:br/>
        <w:t>Build square simulation grid in metres</w:t>
        <w:br/>
        <w:t xml:space="preserve">      ↓</w:t>
        <w:br/>
        <w:t>Run spread / distance / buffer / area computations</w:t>
        <w:br/>
        <w:t xml:space="preserve">      ↓</w:t>
        <w:br/>
        <w:t>Polygon geometry in projected CRS</w:t>
        <w:br/>
        <w:t xml:space="preserve">      ↓</w:t>
        <w:br/>
        <w:t>Reproject to WGS84 for web map display</w:t>
        <w:br/>
      </w:r>
    </w:p>
    <w:p>
      <w:pPr>
        <w:pStyle w:val="Heading2"/>
      </w:pPr>
      <w:r>
        <w:t>4.4 CRS metadata</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Field</w:t>
            </w:r>
          </w:p>
        </w:tc>
        <w:tc>
          <w:tcPr>
            <w:tcW w:type="dxa" w:w="5112"/>
            <w:vAlign w:val="center"/>
            <w:shd w:fill="0B5A75"/>
          </w:tcPr>
          <w:p>
            <w:pPr>
              <w:spacing w:after="0"/>
            </w:pPr>
            <w:r/>
            <w:r>
              <w:rPr>
                <w:rFonts w:ascii="Aptos" w:hAnsi="Aptos"/>
                <w:b/>
                <w:color w:val="FFFFFF"/>
                <w:sz w:val="15"/>
              </w:rPr>
              <w:t>Requirement</w:t>
            </w:r>
          </w:p>
        </w:tc>
      </w:tr>
      <w:tr>
        <w:tc>
          <w:tcPr>
            <w:tcW w:type="dxa" w:w="5112"/>
            <w:vAlign w:val="center"/>
          </w:tcPr>
          <w:p>
            <w:pPr>
              <w:spacing w:after="0"/>
            </w:pPr>
            <w:r/>
            <w:r>
              <w:rPr>
                <w:rFonts w:ascii="Aptos" w:hAnsi="Aptos"/>
                <w:b w:val="0"/>
                <w:color w:val="111827"/>
                <w:sz w:val="15"/>
              </w:rPr>
              <w:t>crs_id</w:t>
            </w:r>
          </w:p>
        </w:tc>
        <w:tc>
          <w:tcPr>
            <w:tcW w:type="dxa" w:w="5112"/>
            <w:vAlign w:val="center"/>
          </w:tcPr>
          <w:p>
            <w:pPr>
              <w:spacing w:after="0"/>
            </w:pPr>
            <w:r/>
            <w:r>
              <w:rPr>
                <w:rFonts w:ascii="Aptos" w:hAnsi="Aptos"/>
                <w:b w:val="0"/>
                <w:color w:val="111827"/>
                <w:sz w:val="15"/>
              </w:rPr>
              <w:t>Persist exact EPSG/CRS identifier.</w:t>
            </w:r>
          </w:p>
        </w:tc>
      </w:tr>
      <w:tr>
        <w:tc>
          <w:tcPr>
            <w:tcW w:type="dxa" w:w="5112"/>
            <w:vAlign w:val="center"/>
            <w:shd w:fill="F3F4F6"/>
          </w:tcPr>
          <w:p>
            <w:pPr>
              <w:spacing w:after="0"/>
            </w:pPr>
            <w:r/>
            <w:r>
              <w:rPr>
                <w:rFonts w:ascii="Aptos" w:hAnsi="Aptos"/>
                <w:b w:val="0"/>
                <w:color w:val="111827"/>
                <w:sz w:val="15"/>
              </w:rPr>
              <w:t>resolution_m</w:t>
            </w:r>
          </w:p>
        </w:tc>
        <w:tc>
          <w:tcPr>
            <w:tcW w:type="dxa" w:w="5112"/>
            <w:vAlign w:val="center"/>
            <w:shd w:fill="F3F4F6"/>
          </w:tcPr>
          <w:p>
            <w:pPr>
              <w:spacing w:after="0"/>
            </w:pPr>
            <w:r/>
            <w:r>
              <w:rPr>
                <w:rFonts w:ascii="Aptos" w:hAnsi="Aptos"/>
                <w:b w:val="0"/>
                <w:color w:val="111827"/>
                <w:sz w:val="15"/>
              </w:rPr>
              <w:t>Persist cell size.</w:t>
            </w:r>
          </w:p>
        </w:tc>
      </w:tr>
      <w:tr>
        <w:tc>
          <w:tcPr>
            <w:tcW w:type="dxa" w:w="5112"/>
            <w:vAlign w:val="center"/>
          </w:tcPr>
          <w:p>
            <w:pPr>
              <w:spacing w:after="0"/>
            </w:pPr>
            <w:r/>
            <w:r>
              <w:rPr>
                <w:rFonts w:ascii="Aptos" w:hAnsi="Aptos"/>
                <w:b w:val="0"/>
                <w:color w:val="111827"/>
                <w:sz w:val="15"/>
              </w:rPr>
              <w:t>domain_extent</w:t>
            </w:r>
          </w:p>
        </w:tc>
        <w:tc>
          <w:tcPr>
            <w:tcW w:type="dxa" w:w="5112"/>
            <w:vAlign w:val="center"/>
          </w:tcPr>
          <w:p>
            <w:pPr>
              <w:spacing w:after="0"/>
            </w:pPr>
            <w:r/>
            <w:r>
              <w:rPr>
                <w:rFonts w:ascii="Aptos" w:hAnsi="Aptos"/>
                <w:b w:val="0"/>
                <w:color w:val="111827"/>
                <w:sz w:val="15"/>
              </w:rPr>
              <w:t>Persist simulation bounds.</w:t>
            </w:r>
          </w:p>
        </w:tc>
      </w:tr>
      <w:tr>
        <w:tc>
          <w:tcPr>
            <w:tcW w:type="dxa" w:w="5112"/>
            <w:vAlign w:val="center"/>
            <w:shd w:fill="F3F4F6"/>
          </w:tcPr>
          <w:p>
            <w:pPr>
              <w:spacing w:after="0"/>
            </w:pPr>
            <w:r/>
            <w:r>
              <w:rPr>
                <w:rFonts w:ascii="Aptos" w:hAnsi="Aptos"/>
                <w:b w:val="0"/>
                <w:color w:val="111827"/>
                <w:sz w:val="15"/>
              </w:rPr>
              <w:t>transform</w:t>
            </w:r>
          </w:p>
        </w:tc>
        <w:tc>
          <w:tcPr>
            <w:tcW w:type="dxa" w:w="5112"/>
            <w:vAlign w:val="center"/>
            <w:shd w:fill="F3F4F6"/>
          </w:tcPr>
          <w:p>
            <w:pPr>
              <w:spacing w:after="0"/>
            </w:pPr>
            <w:r/>
            <w:r>
              <w:rPr>
                <w:rFonts w:ascii="Aptos" w:hAnsi="Aptos"/>
                <w:b w:val="0"/>
                <w:color w:val="111827"/>
                <w:sz w:val="15"/>
              </w:rPr>
              <w:t>Persist/reconstruct raster transform.</w:t>
            </w:r>
          </w:p>
        </w:tc>
      </w:tr>
      <w:tr>
        <w:tc>
          <w:tcPr>
            <w:tcW w:type="dxa" w:w="5112"/>
            <w:vAlign w:val="center"/>
          </w:tcPr>
          <w:p>
            <w:pPr>
              <w:spacing w:after="0"/>
            </w:pPr>
            <w:r/>
            <w:r>
              <w:rPr>
                <w:rFonts w:ascii="Aptos" w:hAnsi="Aptos"/>
                <w:b w:val="0"/>
                <w:color w:val="111827"/>
                <w:sz w:val="15"/>
              </w:rPr>
              <w:t>source_crs</w:t>
            </w:r>
          </w:p>
        </w:tc>
        <w:tc>
          <w:tcPr>
            <w:tcW w:type="dxa" w:w="5112"/>
            <w:vAlign w:val="center"/>
          </w:tcPr>
          <w:p>
            <w:pPr>
              <w:spacing w:after="0"/>
            </w:pPr>
            <w:r/>
            <w:r>
              <w:rPr>
                <w:rFonts w:ascii="Aptos" w:hAnsi="Aptos"/>
                <w:b w:val="0"/>
                <w:color w:val="111827"/>
                <w:sz w:val="15"/>
              </w:rPr>
              <w:t>Persist original dataset CRS where relevant.</w:t>
            </w:r>
          </w:p>
        </w:tc>
      </w:tr>
    </w:tbl>
    <w:p/>
    <w:p>
      <w:r>
        <w:t>The fire output metadata must state the CRS used for the simulation and the display transformation.</w:t>
      </w:r>
    </w:p>
    <w:p>
      <w:pPr>
        <w:pStyle w:val="Heading1"/>
      </w:pPr>
      <w:r>
        <w:t>5. Terrain Engine — DEM, Slope &amp; Aspect</w:t>
      </w:r>
    </w:p>
    <w:p>
      <w:pPr>
        <w:pStyle w:val="Heading2"/>
      </w:pPr>
      <w:r>
        <w:t>5.1 DEM</w:t>
      </w:r>
    </w:p>
    <w:p>
      <w:r>
        <w:t>The terrain engine samples or resamples the chosen DEM onto the simulation grid. The DEM value represents elevation in metres unless the source explicitly defines another unit and a conversion is performed.</w:t>
      </w:r>
    </w:p>
    <w:p>
      <w:pPr>
        <w:pStyle w:val="Heading2"/>
      </w:pPr>
      <w:r>
        <w:t>5.2 Central-difference gradient</w:t>
      </w:r>
    </w:p>
    <w:p>
      <w:pPr>
        <w:jc w:val="center"/>
      </w:pPr>
      <w:r>
        <w:rPr>
          <w:rFonts w:ascii="Cambria Math" w:hAnsi="Cambria Math"/>
          <w:b/>
          <w:sz w:val="21"/>
        </w:rPr>
        <w:t>∂z/∂x = (z_E − z_W) / (2Δx)</w:t>
      </w:r>
    </w:p>
    <w:p>
      <w:pPr>
        <w:jc w:val="center"/>
      </w:pPr>
      <w:r>
        <w:rPr>
          <w:rFonts w:ascii="Cambria Math" w:hAnsi="Cambria Math"/>
          <w:b/>
          <w:sz w:val="21"/>
        </w:rPr>
        <w:t>∂z/∂y = (z_N − z_S) / (2Δy)</w:t>
      </w:r>
    </w:p>
    <w:p>
      <w:pPr>
        <w:jc w:val="center"/>
      </w:pPr>
      <w:r>
        <w:rPr>
          <w:rFonts w:ascii="Cambria Math" w:hAnsi="Cambria Math"/>
          <w:b/>
          <w:sz w:val="21"/>
        </w:rPr>
        <w:t>g = √[(∂z/∂x)^2 + (∂z/∂y)^2]</w:t>
      </w:r>
    </w:p>
    <w:p>
      <w:pPr>
        <w:jc w:val="center"/>
      </w:pPr>
      <w:r>
        <w:rPr>
          <w:rFonts w:ascii="Cambria Math" w:hAnsi="Cambria Math"/>
          <w:b/>
          <w:sz w:val="21"/>
        </w:rPr>
        <w:t>β = atan(g)</w:t>
      </w:r>
    </w:p>
    <w:p>
      <w:r>
        <w:t>Aspect is the uphill direction of the terrain gradient and is retained as a directional quantity for the slope vector.</w:t>
      </w:r>
    </w:p>
    <w:p>
      <w:pPr>
        <w:pStyle w:val="Heading2"/>
      </w:pPr>
      <w:r>
        <w:t>5.3 Edge cells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Case</w:t>
            </w:r>
          </w:p>
        </w:tc>
        <w:tc>
          <w:tcPr>
            <w:tcW w:type="dxa" w:w="5112"/>
            <w:vAlign w:val="center"/>
            <w:shd w:fill="0B5A75"/>
          </w:tcPr>
          <w:p>
            <w:pPr>
              <w:spacing w:after="0"/>
            </w:pPr>
            <w:r/>
            <w:r>
              <w:rPr>
                <w:rFonts w:ascii="Aptos" w:hAnsi="Aptos"/>
                <w:b/>
                <w:color w:val="FFFFFF"/>
                <w:sz w:val="15"/>
              </w:rPr>
              <w:t>Behavior</w:t>
            </w:r>
          </w:p>
        </w:tc>
      </w:tr>
      <w:tr>
        <w:tc>
          <w:tcPr>
            <w:tcW w:type="dxa" w:w="5112"/>
            <w:vAlign w:val="center"/>
          </w:tcPr>
          <w:p>
            <w:pPr>
              <w:spacing w:after="0"/>
            </w:pPr>
            <w:r/>
            <w:r>
              <w:rPr>
                <w:rFonts w:ascii="Aptos" w:hAnsi="Aptos"/>
                <w:b w:val="0"/>
                <w:color w:val="111827"/>
                <w:sz w:val="15"/>
              </w:rPr>
              <w:t>Interior cell</w:t>
            </w:r>
          </w:p>
        </w:tc>
        <w:tc>
          <w:tcPr>
            <w:tcW w:type="dxa" w:w="5112"/>
            <w:vAlign w:val="center"/>
          </w:tcPr>
          <w:p>
            <w:pPr>
              <w:spacing w:after="0"/>
            </w:pPr>
            <w:r/>
            <w:r>
              <w:rPr>
                <w:rFonts w:ascii="Aptos" w:hAnsi="Aptos"/>
                <w:b w:val="0"/>
                <w:color w:val="111827"/>
                <w:sz w:val="15"/>
              </w:rPr>
              <w:t>Use two-sided central differences.</w:t>
            </w:r>
          </w:p>
        </w:tc>
      </w:tr>
      <w:tr>
        <w:tc>
          <w:tcPr>
            <w:tcW w:type="dxa" w:w="5112"/>
            <w:vAlign w:val="center"/>
            <w:shd w:fill="F3F4F6"/>
          </w:tcPr>
          <w:p>
            <w:pPr>
              <w:spacing w:after="0"/>
            </w:pPr>
            <w:r/>
            <w:r>
              <w:rPr>
                <w:rFonts w:ascii="Aptos" w:hAnsi="Aptos"/>
                <w:b w:val="0"/>
                <w:color w:val="111827"/>
                <w:sz w:val="15"/>
              </w:rPr>
              <w:t>Domain edge</w:t>
            </w:r>
          </w:p>
        </w:tc>
        <w:tc>
          <w:tcPr>
            <w:tcW w:type="dxa" w:w="5112"/>
            <w:vAlign w:val="center"/>
            <w:shd w:fill="F3F4F6"/>
          </w:tcPr>
          <w:p>
            <w:pPr>
              <w:spacing w:after="0"/>
            </w:pPr>
            <w:r/>
            <w:r>
              <w:rPr>
                <w:rFonts w:ascii="Aptos" w:hAnsi="Aptos"/>
                <w:b w:val="0"/>
                <w:color w:val="111827"/>
                <w:sz w:val="15"/>
              </w:rPr>
              <w:t>Use one-sided difference or explicitly mark lower-confidence terrain derivative.</w:t>
            </w:r>
          </w:p>
        </w:tc>
      </w:tr>
      <w:tr>
        <w:tc>
          <w:tcPr>
            <w:tcW w:type="dxa" w:w="5112"/>
            <w:vAlign w:val="center"/>
          </w:tcPr>
          <w:p>
            <w:pPr>
              <w:spacing w:after="0"/>
            </w:pPr>
            <w:r/>
            <w:r>
              <w:rPr>
                <w:rFonts w:ascii="Aptos" w:hAnsi="Aptos"/>
                <w:b w:val="0"/>
                <w:color w:val="111827"/>
                <w:sz w:val="15"/>
              </w:rPr>
              <w:t>Missing elevation</w:t>
            </w:r>
          </w:p>
        </w:tc>
        <w:tc>
          <w:tcPr>
            <w:tcW w:type="dxa" w:w="5112"/>
            <w:vAlign w:val="center"/>
          </w:tcPr>
          <w:p>
            <w:pPr>
              <w:spacing w:after="0"/>
            </w:pPr>
            <w:r/>
            <w:r>
              <w:rPr>
                <w:rFonts w:ascii="Aptos" w:hAnsi="Aptos"/>
                <w:b w:val="0"/>
                <w:color w:val="111827"/>
                <w:sz w:val="15"/>
              </w:rPr>
              <w:t>Use configured flat-terrain fallback only if enabled; mark TERRAIN_DEGRADED.</w:t>
            </w:r>
          </w:p>
        </w:tc>
      </w:tr>
    </w:tbl>
    <w:p/>
    <w:p>
      <w:pPr>
        <w:pStyle w:val="Heading2"/>
      </w:pPr>
      <w:r>
        <w:t>5.4 Slope effect</w:t>
      </w:r>
    </w:p>
    <w:p>
      <w:r>
        <w:t>The exact slope-response function is a configurable Rothermel-family reduction rather than a claim of full operational fidelity. A simplistic linear approximation is acceptable only when documented and validated. A steeper-terrain response must be monotonic in the intended direction and must not create physically nonsensical negative or explosive rates.</w:t>
      </w:r>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Important</w:t>
              <w:br/>
            </w:r>
            <w:r>
              <w:rPr>
                <w:sz w:val="17"/>
              </w:rPr>
              <w:t>The V1 document does not invent a universal slope coefficient. The selected function and coefficients belong in the parameter registry and must be sensitivity-tested. The red-team review specifically warned that a pure linear slope factor can understate steep-slope acceleration. fileciteturn19file14</w:t>
            </w:r>
          </w:p>
        </w:tc>
      </w:tr>
    </w:tbl>
    <w:p/>
    <w:p>
      <w:pPr>
        <w:pStyle w:val="Heading1"/>
      </w:pPr>
      <w:r>
        <w:t>6. Fuel Model</w:t>
      </w:r>
    </w:p>
    <w:p>
      <w:pPr>
        <w:pStyle w:val="Heading2"/>
      </w:pPr>
      <w:r>
        <w:t>6.1 V1 fuel representation</w:t>
      </w:r>
    </w:p>
    <w:p>
      <w:r>
        <w:t>V1 uses a simplified categorical fuel scheme for the demo region. It is explicitly not a full Anderson/Scott-Burgan operational fuel-model library.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Class</w:t>
            </w:r>
          </w:p>
        </w:tc>
        <w:tc>
          <w:tcPr>
            <w:tcW w:type="dxa" w:w="5112"/>
            <w:vAlign w:val="center"/>
            <w:shd w:fill="0B5A75"/>
          </w:tcPr>
          <w:p>
            <w:pPr>
              <w:spacing w:after="0"/>
            </w:pPr>
            <w:r/>
            <w:r>
              <w:rPr>
                <w:rFonts w:ascii="Aptos" w:hAnsi="Aptos"/>
                <w:b/>
                <w:color w:val="FFFFFF"/>
                <w:sz w:val="15"/>
              </w:rPr>
              <w:t>Conceptual behavior</w:t>
            </w:r>
          </w:p>
        </w:tc>
      </w:tr>
      <w:tr>
        <w:tc>
          <w:tcPr>
            <w:tcW w:type="dxa" w:w="5112"/>
            <w:vAlign w:val="center"/>
          </w:tcPr>
          <w:p>
            <w:pPr>
              <w:spacing w:after="0"/>
            </w:pPr>
            <w:r/>
            <w:r>
              <w:rPr>
                <w:rFonts w:ascii="Aptos" w:hAnsi="Aptos"/>
                <w:b w:val="0"/>
                <w:color w:val="111827"/>
                <w:sz w:val="15"/>
              </w:rPr>
              <w:t>NON_BURNABLE</w:t>
            </w:r>
          </w:p>
        </w:tc>
        <w:tc>
          <w:tcPr>
            <w:tcW w:type="dxa" w:w="5112"/>
            <w:vAlign w:val="center"/>
          </w:tcPr>
          <w:p>
            <w:pPr>
              <w:spacing w:after="0"/>
            </w:pPr>
            <w:r/>
            <w:r>
              <w:rPr>
                <w:rFonts w:ascii="Aptos" w:hAnsi="Aptos"/>
                <w:b w:val="0"/>
                <w:color w:val="111827"/>
                <w:sz w:val="15"/>
              </w:rPr>
              <w:t>ROS=0; fire cannot enter this cell.</w:t>
            </w:r>
          </w:p>
        </w:tc>
      </w:tr>
      <w:tr>
        <w:tc>
          <w:tcPr>
            <w:tcW w:type="dxa" w:w="5112"/>
            <w:vAlign w:val="center"/>
            <w:shd w:fill="F3F4F6"/>
          </w:tcPr>
          <w:p>
            <w:pPr>
              <w:spacing w:after="0"/>
            </w:pPr>
            <w:r/>
            <w:r>
              <w:rPr>
                <w:rFonts w:ascii="Aptos" w:hAnsi="Aptos"/>
                <w:b w:val="0"/>
                <w:color w:val="111827"/>
                <w:sz w:val="15"/>
              </w:rPr>
              <w:t>GRASS</w:t>
            </w:r>
          </w:p>
        </w:tc>
        <w:tc>
          <w:tcPr>
            <w:tcW w:type="dxa" w:w="5112"/>
            <w:vAlign w:val="center"/>
            <w:shd w:fill="F3F4F6"/>
          </w:tcPr>
          <w:p>
            <w:pPr>
              <w:spacing w:after="0"/>
            </w:pPr>
            <w:r/>
            <w:r>
              <w:rPr>
                <w:rFonts w:ascii="Aptos" w:hAnsi="Aptos"/>
                <w:b w:val="0"/>
                <w:color w:val="111827"/>
                <w:sz w:val="15"/>
              </w:rPr>
              <w:t>Fast/low-residence fuel behavior.</w:t>
            </w:r>
          </w:p>
        </w:tc>
      </w:tr>
      <w:tr>
        <w:tc>
          <w:tcPr>
            <w:tcW w:type="dxa" w:w="5112"/>
            <w:vAlign w:val="center"/>
          </w:tcPr>
          <w:p>
            <w:pPr>
              <w:spacing w:after="0"/>
            </w:pPr>
            <w:r/>
            <w:r>
              <w:rPr>
                <w:rFonts w:ascii="Aptos" w:hAnsi="Aptos"/>
                <w:b w:val="0"/>
                <w:color w:val="111827"/>
                <w:sz w:val="15"/>
              </w:rPr>
              <w:t>SHRUB</w:t>
            </w:r>
          </w:p>
        </w:tc>
        <w:tc>
          <w:tcPr>
            <w:tcW w:type="dxa" w:w="5112"/>
            <w:vAlign w:val="center"/>
          </w:tcPr>
          <w:p>
            <w:pPr>
              <w:spacing w:after="0"/>
            </w:pPr>
            <w:r/>
            <w:r>
              <w:rPr>
                <w:rFonts w:ascii="Aptos" w:hAnsi="Aptos"/>
                <w:b w:val="0"/>
                <w:color w:val="111827"/>
                <w:sz w:val="15"/>
              </w:rPr>
              <w:t>Intermediate behavior.</w:t>
            </w:r>
          </w:p>
        </w:tc>
      </w:tr>
      <w:tr>
        <w:tc>
          <w:tcPr>
            <w:tcW w:type="dxa" w:w="5112"/>
            <w:vAlign w:val="center"/>
            <w:shd w:fill="F3F4F6"/>
          </w:tcPr>
          <w:p>
            <w:pPr>
              <w:spacing w:after="0"/>
            </w:pPr>
            <w:r/>
            <w:r>
              <w:rPr>
                <w:rFonts w:ascii="Aptos" w:hAnsi="Aptos"/>
                <w:b w:val="0"/>
                <w:color w:val="111827"/>
                <w:sz w:val="15"/>
              </w:rPr>
              <w:t>LIGHT_FOREST</w:t>
            </w:r>
          </w:p>
        </w:tc>
        <w:tc>
          <w:tcPr>
            <w:tcW w:type="dxa" w:w="5112"/>
            <w:vAlign w:val="center"/>
            <w:shd w:fill="F3F4F6"/>
          </w:tcPr>
          <w:p>
            <w:pPr>
              <w:spacing w:after="0"/>
            </w:pPr>
            <w:r/>
            <w:r>
              <w:rPr>
                <w:rFonts w:ascii="Aptos" w:hAnsi="Aptos"/>
                <w:b w:val="0"/>
                <w:color w:val="111827"/>
                <w:sz w:val="15"/>
              </w:rPr>
              <w:t>Moderate/variable spread.</w:t>
            </w:r>
          </w:p>
        </w:tc>
      </w:tr>
      <w:tr>
        <w:tc>
          <w:tcPr>
            <w:tcW w:type="dxa" w:w="5112"/>
            <w:vAlign w:val="center"/>
          </w:tcPr>
          <w:p>
            <w:pPr>
              <w:spacing w:after="0"/>
            </w:pPr>
            <w:r/>
            <w:r>
              <w:rPr>
                <w:rFonts w:ascii="Aptos" w:hAnsi="Aptos"/>
                <w:b w:val="0"/>
                <w:color w:val="111827"/>
                <w:sz w:val="15"/>
              </w:rPr>
              <w:t>DENSE_FOREST</w:t>
            </w:r>
          </w:p>
        </w:tc>
        <w:tc>
          <w:tcPr>
            <w:tcW w:type="dxa" w:w="5112"/>
            <w:vAlign w:val="center"/>
          </w:tcPr>
          <w:p>
            <w:pPr>
              <w:spacing w:after="0"/>
            </w:pPr>
            <w:r/>
            <w:r>
              <w:rPr>
                <w:rFonts w:ascii="Aptos" w:hAnsi="Aptos"/>
                <w:b w:val="0"/>
                <w:color w:val="111827"/>
                <w:sz w:val="15"/>
              </w:rPr>
              <w:t>Higher fuel load and context-dependent spread.</w:t>
            </w:r>
          </w:p>
        </w:tc>
      </w:tr>
      <w:tr>
        <w:tc>
          <w:tcPr>
            <w:tcW w:type="dxa" w:w="5112"/>
            <w:vAlign w:val="center"/>
            <w:shd w:fill="F3F4F6"/>
          </w:tcPr>
          <w:p>
            <w:pPr>
              <w:spacing w:after="0"/>
            </w:pPr>
            <w:r/>
            <w:r>
              <w:rPr>
                <w:rFonts w:ascii="Aptos" w:hAnsi="Aptos"/>
                <w:b w:val="0"/>
                <w:color w:val="111827"/>
                <w:sz w:val="15"/>
              </w:rPr>
              <w:t>URBAN_MIX</w:t>
            </w:r>
          </w:p>
        </w:tc>
        <w:tc>
          <w:tcPr>
            <w:tcW w:type="dxa" w:w="5112"/>
            <w:vAlign w:val="center"/>
            <w:shd w:fill="F3F4F6"/>
          </w:tcPr>
          <w:p>
            <w:pPr>
              <w:spacing w:after="0"/>
            </w:pPr>
            <w:r/>
            <w:r>
              <w:rPr>
                <w:rFonts w:ascii="Aptos" w:hAnsi="Aptos"/>
                <w:b w:val="0"/>
                <w:color w:val="111827"/>
                <w:sz w:val="15"/>
              </w:rPr>
              <w:t>Configured cautiously; burnable status and behavior depend on the demo assumption.</w:t>
            </w:r>
          </w:p>
        </w:tc>
      </w:tr>
    </w:tbl>
    <w:p/>
    <w:p>
      <w:pPr>
        <w:pStyle w:val="Heading2"/>
      </w:pPr>
      <w:r>
        <w:t>6.2 Fuel profile</w:t>
      </w:r>
    </w:p>
    <w:p>
      <w:pPr>
        <w:pStyle w:val="CodeBlock"/>
        <w:shd w:fill="F8FAFC"/>
      </w:pPr>
      <w:r>
        <w:t>FuelProfile:</w:t>
        <w:br/>
        <w:t xml:space="preserve">  fuel_model_id</w:t>
        <w:br/>
        <w:t xml:space="preserve">  fuel_class</w:t>
        <w:br/>
        <w:t xml:space="preserve">  base_ros_r0</w:t>
        <w:br/>
        <w:t xml:space="preserve">  wind_response_parameters</w:t>
        <w:br/>
        <w:t xml:space="preserve">  slope_response_parameters</w:t>
        <w:br/>
        <w:t xml:space="preserve">  moisture_response_parameters</w:t>
        <w:br/>
        <w:t xml:space="preserve">  burnable</w:t>
        <w:br/>
        <w:t xml:space="preserve">  provenance</w:t>
        <w:br/>
        <w:t xml:space="preserve">  calibration_status</w:t>
        <w:br/>
      </w:r>
    </w:p>
    <w:p>
      <w:pPr>
        <w:pStyle w:val="Heading2"/>
      </w:pPr>
      <w:r>
        <w:t>6.3 Provenance rule</w:t>
      </w:r>
    </w:p>
    <w:p>
      <w:r>
        <w:t>Every demo fuel map must have an explicit source/provenance. Hand-labeled fuel classes are acceptable for a prototype, but the dashboard and documentation must identify them as simplified demo classification.</w:t>
      </w:r>
    </w:p>
    <w:p>
      <w:pPr>
        <w:pStyle w:val="Heading1"/>
      </w:pPr>
      <w:r>
        <w:t>7. Moisture / Environmental Suppression</w:t>
      </w:r>
    </w:p>
    <w:p>
      <w:pPr>
        <w:pStyle w:val="Heading2"/>
      </w:pPr>
      <w:r>
        <w:t>7.1 V1 moisture model</w:t>
      </w:r>
    </w:p>
    <w:p>
      <w:r>
        <w:t>The fire engine uses a normalized moisture index or equivalent environmental proxy to scale the base spread behavior. Relative dryness should increase spread capability and wetter conditions should suppress it.</w:t>
      </w:r>
    </w:p>
    <w:p>
      <w:pPr>
        <w:jc w:val="center"/>
      </w:pPr>
      <w:r>
        <w:rPr>
          <w:rFonts w:ascii="Cambria Math" w:hAnsi="Cambria Math"/>
          <w:b/>
          <w:sz w:val="21"/>
        </w:rPr>
        <w:t>F_M(c) ∈ (0,1]</w:t>
      </w:r>
    </w:p>
    <w:p>
      <w:pPr>
        <w:jc w:val="center"/>
      </w:pPr>
      <w:r>
        <w:rPr>
          <w:rFonts w:ascii="Cambria Math" w:hAnsi="Cambria Math"/>
          <w:b/>
          <w:sz w:val="21"/>
        </w:rPr>
        <w:t>ROS_moisture(c,d) = ROS_directional(c,d) × F_M(c)</w:t>
      </w:r>
    </w:p>
    <w:p>
      <w:pPr>
        <w:pStyle w:val="Heading2"/>
      </w:pPr>
      <w:r>
        <w:t>7.2 Proxy rule</w:t>
      </w:r>
    </w:p>
    <w:tbl>
      <w:tblPr>
        <w:tblStyle w:val="TableGrid"/>
        <w:tblW w:type="auto" w:w="0"/>
        <w:tblLook w:firstColumn="1" w:firstRow="1" w:lastColumn="0" w:lastRow="0" w:noHBand="0" w:noVBand="1" w:val="04A0"/>
      </w:tblPr>
      <w:tblGrid>
        <w:gridCol w:w="10224"/>
      </w:tblGrid>
      <w:tr>
        <w:trPr>
          <w:cantSplit/>
        </w:trPr>
        <w:tc>
          <w:tcPr>
            <w:tcW w:type="dxa" w:w="10224"/>
            <w:shd w:fill="FFF7ED"/>
          </w:tcPr>
          <w:p>
            <w:r/>
            <w:r>
              <w:rPr>
                <w:b/>
                <w:color w:val="92400E"/>
                <w:sz w:val="18"/>
              </w:rPr>
              <w:t>Do not equate humidity to fuel moisture</w:t>
              <w:br/>
            </w:r>
            <w:r>
              <w:rPr>
                <w:sz w:val="17"/>
              </w:rPr>
              <w:t>Relative humidity and rainfall are environmental proxies/context inputs. They are not literally the same physical quantity as multi-timelag fuel moisture. V1 may use a calibrated proxy, but the implementation and UI must label it as a moisture proxy/simplification.</w:t>
            </w:r>
          </w:p>
        </w:tc>
      </w:tr>
    </w:tbl>
    <w:p/>
    <w:p>
      <w:pPr>
        <w:pStyle w:val="Heading2"/>
      </w:pPr>
      <w:r>
        <w:t>7.3 Example proxy structure</w:t>
      </w:r>
    </w:p>
    <w:p>
      <w:r>
        <w:t>A configurable proxy can map recent humidity/rainfall/context into a normalized dryness/moisture index. Exact coefficients must remain configurable and calibration-driven.</w:t>
      </w:r>
    </w:p>
    <w:p>
      <w:pPr>
        <w:pStyle w:val="CodeBlock"/>
        <w:shd w:fill="F8FAFC"/>
      </w:pPr>
      <w:r>
        <w:t>recent_rain</w:t>
        <w:br/>
        <w:t>humidity_context</w:t>
        <w:br/>
        <w:t>optional temperature_context</w:t>
        <w:br/>
        <w:t xml:space="preserve">        ↓</w:t>
        <w:br/>
        <w:t>normalized moisture_index</w:t>
        <w:br/>
        <w:t xml:space="preserve">        ↓</w:t>
        <w:br/>
        <w:t>moisture response F_M ∈ (0,1]</w:t>
        <w:br/>
      </w:r>
    </w:p>
    <w:p>
      <w:pPr>
        <w:pStyle w:val="Heading1"/>
      </w:pPr>
      <w:r>
        <w:t>8. Wind Model</w:t>
      </w:r>
    </w:p>
    <w:p>
      <w:pPr>
        <w:pStyle w:val="Heading2"/>
      </w:pPr>
      <w:r>
        <w:t>8.1 Wind direction convention</w:t>
      </w:r>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Critical correctness rule</w:t>
              <w:br/>
            </w:r>
            <w:r>
              <w:rPr>
                <w:sz w:val="17"/>
              </w:rPr>
              <w:t>Meteorological wind direction is reported as FROM. Fire propagation uses the reciprocal TO direction.</w:t>
            </w:r>
          </w:p>
        </w:tc>
      </w:tr>
    </w:tbl>
    <w:p/>
    <w:p>
      <w:pPr>
        <w:jc w:val="center"/>
      </w:pPr>
      <w:r>
        <w:rPr>
          <w:rFonts w:ascii="Cambria Math" w:hAnsi="Cambria Math"/>
          <w:b/>
          <w:sz w:val="21"/>
        </w:rPr>
        <w:t>θ_TO = (θ_FROM + 180°) mod 360°</w:t>
      </w:r>
    </w:p>
    <w:p>
      <w:r>
        <w:t>This conversion MUST occur in the backend/fire model before the wind becomes a propagation vector. The frontend must not compensate for a backend error.</w:t>
      </w:r>
    </w:p>
    <w:p>
      <w:pPr>
        <w:pStyle w:val="Heading2"/>
      </w:pPr>
      <w:r>
        <w:t>8.2 Midflame wind</w:t>
      </w:r>
    </w:p>
    <w:p>
      <w:pPr>
        <w:jc w:val="center"/>
      </w:pPr>
      <w:r>
        <w:rPr>
          <w:rFonts w:ascii="Cambria Math" w:hAnsi="Cambria Math"/>
          <w:b/>
          <w:sz w:val="21"/>
        </w:rPr>
        <w:t>U_mid = WAF × U_input</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Term</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U_input</w:t>
            </w:r>
          </w:p>
        </w:tc>
        <w:tc>
          <w:tcPr>
            <w:tcW w:type="dxa" w:w="5112"/>
            <w:vAlign w:val="center"/>
          </w:tcPr>
          <w:p>
            <w:pPr>
              <w:spacing w:after="0"/>
            </w:pPr>
            <w:r/>
            <w:r>
              <w:rPr>
                <w:rFonts w:ascii="Aptos" w:hAnsi="Aptos"/>
                <w:b w:val="0"/>
                <w:color w:val="111827"/>
                <w:sz w:val="15"/>
              </w:rPr>
              <w:t>Input wind speed at the measurement/source height.</w:t>
            </w:r>
          </w:p>
        </w:tc>
      </w:tr>
      <w:tr>
        <w:tc>
          <w:tcPr>
            <w:tcW w:type="dxa" w:w="5112"/>
            <w:vAlign w:val="center"/>
            <w:shd w:fill="F3F4F6"/>
          </w:tcPr>
          <w:p>
            <w:pPr>
              <w:spacing w:after="0"/>
            </w:pPr>
            <w:r/>
            <w:r>
              <w:rPr>
                <w:rFonts w:ascii="Aptos" w:hAnsi="Aptos"/>
                <w:b w:val="0"/>
                <w:color w:val="111827"/>
                <w:sz w:val="15"/>
              </w:rPr>
              <w:t>WAF</w:t>
            </w:r>
          </w:p>
        </w:tc>
        <w:tc>
          <w:tcPr>
            <w:tcW w:type="dxa" w:w="5112"/>
            <w:vAlign w:val="center"/>
            <w:shd w:fill="F3F4F6"/>
          </w:tcPr>
          <w:p>
            <w:pPr>
              <w:spacing w:after="0"/>
            </w:pPr>
            <w:r/>
            <w:r>
              <w:rPr>
                <w:rFonts w:ascii="Aptos" w:hAnsi="Aptos"/>
                <w:b w:val="0"/>
                <w:color w:val="111827"/>
                <w:sz w:val="15"/>
              </w:rPr>
              <w:t>Wind adjustment/reduction factor; configurable.</w:t>
            </w:r>
          </w:p>
        </w:tc>
      </w:tr>
      <w:tr>
        <w:tc>
          <w:tcPr>
            <w:tcW w:type="dxa" w:w="5112"/>
            <w:vAlign w:val="center"/>
          </w:tcPr>
          <w:p>
            <w:pPr>
              <w:spacing w:after="0"/>
            </w:pPr>
            <w:r/>
            <w:r>
              <w:rPr>
                <w:rFonts w:ascii="Aptos" w:hAnsi="Aptos"/>
                <w:b w:val="0"/>
                <w:color w:val="111827"/>
                <w:sz w:val="15"/>
              </w:rPr>
              <w:t>U_mid</w:t>
            </w:r>
          </w:p>
        </w:tc>
        <w:tc>
          <w:tcPr>
            <w:tcW w:type="dxa" w:w="5112"/>
            <w:vAlign w:val="center"/>
          </w:tcPr>
          <w:p>
            <w:pPr>
              <w:spacing w:after="0"/>
            </w:pPr>
            <w:r/>
            <w:r>
              <w:rPr>
                <w:rFonts w:ascii="Aptos" w:hAnsi="Aptos"/>
                <w:b w:val="0"/>
                <w:color w:val="111827"/>
                <w:sz w:val="15"/>
              </w:rPr>
              <w:t>Estimated wind speed relevant to fire-spread formulation.</w:t>
            </w:r>
          </w:p>
        </w:tc>
      </w:tr>
    </w:tbl>
    <w:p/>
    <w:p>
      <w:r>
        <w:t>The fixed reduction factor is a prototype simplification of more detailed canopy/vegetation adjustment. If a more detailed method becomes available, it can replace the factor without changing the surrounding architecture.</w:t>
      </w:r>
    </w:p>
    <w:p>
      <w:pPr>
        <w:pStyle w:val="Heading2"/>
      </w:pPr>
      <w:r>
        <w:t>8.3 Calm/missing wind</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Condition</w:t>
            </w:r>
          </w:p>
        </w:tc>
        <w:tc>
          <w:tcPr>
            <w:tcW w:type="dxa" w:w="5112"/>
            <w:vAlign w:val="center"/>
            <w:shd w:fill="0B5A75"/>
          </w:tcPr>
          <w:p>
            <w:pPr>
              <w:spacing w:after="0"/>
            </w:pPr>
            <w:r/>
            <w:r>
              <w:rPr>
                <w:rFonts w:ascii="Aptos" w:hAnsi="Aptos"/>
                <w:b/>
                <w:color w:val="FFFFFF"/>
                <w:sz w:val="15"/>
              </w:rPr>
              <w:t>Behavior</w:t>
            </w:r>
          </w:p>
        </w:tc>
      </w:tr>
      <w:tr>
        <w:tc>
          <w:tcPr>
            <w:tcW w:type="dxa" w:w="5112"/>
            <w:vAlign w:val="center"/>
          </w:tcPr>
          <w:p>
            <w:pPr>
              <w:spacing w:after="0"/>
            </w:pPr>
            <w:r/>
            <w:r>
              <w:rPr>
                <w:rFonts w:ascii="Aptos" w:hAnsi="Aptos"/>
                <w:b w:val="0"/>
                <w:color w:val="111827"/>
                <w:sz w:val="15"/>
              </w:rPr>
              <w:t>U_mid below configured calm threshold</w:t>
            </w:r>
          </w:p>
        </w:tc>
        <w:tc>
          <w:tcPr>
            <w:tcW w:type="dxa" w:w="5112"/>
            <w:vAlign w:val="center"/>
          </w:tcPr>
          <w:p>
            <w:pPr>
              <w:spacing w:after="0"/>
            </w:pPr>
            <w:r/>
            <w:r>
              <w:rPr>
                <w:rFonts w:ascii="Aptos" w:hAnsi="Aptos"/>
                <w:b w:val="0"/>
                <w:color w:val="111827"/>
                <w:sz w:val="15"/>
              </w:rPr>
              <w:t>Treat wind forcing as effectively zero and use near-isotropic directional spread.</w:t>
            </w:r>
          </w:p>
        </w:tc>
      </w:tr>
      <w:tr>
        <w:tc>
          <w:tcPr>
            <w:tcW w:type="dxa" w:w="5112"/>
            <w:vAlign w:val="center"/>
            <w:shd w:fill="F3F4F6"/>
          </w:tcPr>
          <w:p>
            <w:pPr>
              <w:spacing w:after="0"/>
            </w:pPr>
            <w:r/>
            <w:r>
              <w:rPr>
                <w:rFonts w:ascii="Aptos" w:hAnsi="Aptos"/>
                <w:b w:val="0"/>
                <w:color w:val="111827"/>
                <w:sz w:val="15"/>
              </w:rPr>
              <w:t>Wind missing</w:t>
            </w:r>
          </w:p>
        </w:tc>
        <w:tc>
          <w:tcPr>
            <w:tcW w:type="dxa" w:w="5112"/>
            <w:vAlign w:val="center"/>
            <w:shd w:fill="F3F4F6"/>
          </w:tcPr>
          <w:p>
            <w:pPr>
              <w:spacing w:after="0"/>
            </w:pPr>
            <w:r/>
            <w:r>
              <w:rPr>
                <w:rFonts w:ascii="Aptos" w:hAnsi="Aptos"/>
                <w:b w:val="0"/>
                <w:color w:val="111827"/>
                <w:sz w:val="15"/>
              </w:rPr>
              <w:t>Use only an explicitly configured calm-wind/assumption path; label output DEGRADED.</w:t>
            </w:r>
          </w:p>
        </w:tc>
      </w:tr>
      <w:tr>
        <w:tc>
          <w:tcPr>
            <w:tcW w:type="dxa" w:w="5112"/>
            <w:vAlign w:val="center"/>
          </w:tcPr>
          <w:p>
            <w:pPr>
              <w:spacing w:after="0"/>
            </w:pPr>
            <w:r/>
            <w:r>
              <w:rPr>
                <w:rFonts w:ascii="Aptos" w:hAnsi="Aptos"/>
                <w:b w:val="0"/>
                <w:color w:val="111827"/>
                <w:sz w:val="15"/>
              </w:rPr>
              <w:t>Wind stale</w:t>
            </w:r>
          </w:p>
        </w:tc>
        <w:tc>
          <w:tcPr>
            <w:tcW w:type="dxa" w:w="5112"/>
            <w:vAlign w:val="center"/>
          </w:tcPr>
          <w:p>
            <w:pPr>
              <w:spacing w:after="0"/>
            </w:pPr>
            <w:r/>
            <w:r>
              <w:rPr>
                <w:rFonts w:ascii="Aptos" w:hAnsi="Aptos"/>
                <w:b w:val="0"/>
                <w:color w:val="111827"/>
                <w:sz w:val="15"/>
              </w:rPr>
              <w:t>Do not silently treat as fresh; mark information degraded and use policy-defined fallback.</w:t>
            </w:r>
          </w:p>
        </w:tc>
      </w:tr>
      <w:tr>
        <w:tc>
          <w:tcPr>
            <w:tcW w:type="dxa" w:w="5112"/>
            <w:vAlign w:val="center"/>
            <w:shd w:fill="F3F4F6"/>
          </w:tcPr>
          <w:p>
            <w:pPr>
              <w:spacing w:after="0"/>
            </w:pPr>
            <w:r/>
            <w:r>
              <w:rPr>
                <w:rFonts w:ascii="Aptos" w:hAnsi="Aptos"/>
                <w:b w:val="0"/>
                <w:color w:val="111827"/>
                <w:sz w:val="15"/>
              </w:rPr>
              <w:t>Wind direction invalid</w:t>
            </w:r>
          </w:p>
        </w:tc>
        <w:tc>
          <w:tcPr>
            <w:tcW w:type="dxa" w:w="5112"/>
            <w:vAlign w:val="center"/>
            <w:shd w:fill="F3F4F6"/>
          </w:tcPr>
          <w:p>
            <w:pPr>
              <w:spacing w:after="0"/>
            </w:pPr>
            <w:r/>
            <w:r>
              <w:rPr>
                <w:rFonts w:ascii="Aptos" w:hAnsi="Aptos"/>
                <w:b w:val="0"/>
                <w:color w:val="111827"/>
                <w:sz w:val="15"/>
              </w:rPr>
              <w:t>Reject directional wind input; fall back only if configured and labeled.</w:t>
            </w:r>
          </w:p>
        </w:tc>
      </w:tr>
    </w:tbl>
    <w:p/>
    <w:p>
      <w:pPr>
        <w:pStyle w:val="Heading1"/>
      </w:pPr>
      <w:r>
        <w:t>9. Directional Wind + Slope Combination</w:t>
      </w:r>
    </w:p>
    <w:p>
      <w:pPr>
        <w:pStyle w:val="Heading2"/>
      </w:pPr>
      <w:r>
        <w:t>9.1 Design</w:t>
      </w:r>
    </w:p>
    <w:p>
      <w:r>
        <w:t>Wind and slope are represented as directional influence vectors rather than independent arbitrary multipliers applied to each grid direction. This reduces the number of free directional parameters and produces a coherent head-fire direction when the forcings are aligned or opposed.</w:t>
      </w:r>
    </w:p>
    <w:p>
      <w:pPr>
        <w:pStyle w:val="Heading2"/>
      </w:pPr>
      <w:r>
        <w:t>9.2 Vector convention</w:t>
      </w:r>
    </w:p>
    <w:p>
      <w:r>
        <w:t>Use a local Cartesian coordinate system for the projected simulation grid. Define +x and +y consistently with the projected coordinates. Convert the TO wind bearing and uphill slope aspect into unit vectors in this coordinate frame.</w:t>
      </w:r>
    </w:p>
    <w:p>
      <w:pPr>
        <w:pStyle w:val="CodeBlock"/>
        <w:shd w:fill="F8FAFC"/>
      </w:pPr>
      <w:r>
        <w:t>v_hat(θ) = [cos(θ_cartesian), sin(θ_cartesian)]</w:t>
        <w:br/>
        <w:br/>
        <w:t>V_w = M_w(U_mid, fuel, context) × v_hat(θ_wind_to)</w:t>
        <w:br/>
        <w:t>V_s = M_s(slope, fuel, context) × v_hat(θ_uphill)</w:t>
        <w:br/>
        <w:br/>
        <w:t>V_eff = V_w + V_s</w:t>
        <w:br/>
        <w:t>U_eff = ||V_eff||</w:t>
        <w:br/>
        <w:t>θ_eff = atan2(V_eff_y, V_eff_x)</w:t>
        <w:br/>
      </w:r>
    </w:p>
    <w:p>
      <w:pPr>
        <w:pStyle w:val="Heading2"/>
      </w:pPr>
      <w:r>
        <w:t>9.3 Resultant interpretation</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Output</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U_eff</w:t>
            </w:r>
          </w:p>
        </w:tc>
        <w:tc>
          <w:tcPr>
            <w:tcW w:type="dxa" w:w="5112"/>
            <w:vAlign w:val="center"/>
          </w:tcPr>
          <w:p>
            <w:pPr>
              <w:spacing w:after="0"/>
            </w:pPr>
            <w:r/>
            <w:r>
              <w:rPr>
                <w:rFonts w:ascii="Aptos" w:hAnsi="Aptos"/>
                <w:b w:val="0"/>
                <w:color w:val="111827"/>
                <w:sz w:val="15"/>
              </w:rPr>
              <w:t>Effective directional forcing strength used by the reduced directional model.</w:t>
            </w:r>
          </w:p>
        </w:tc>
      </w:tr>
      <w:tr>
        <w:tc>
          <w:tcPr>
            <w:tcW w:type="dxa" w:w="5112"/>
            <w:vAlign w:val="center"/>
            <w:shd w:fill="F3F4F6"/>
          </w:tcPr>
          <w:p>
            <w:pPr>
              <w:spacing w:after="0"/>
            </w:pPr>
            <w:r/>
            <w:r>
              <w:rPr>
                <w:rFonts w:ascii="Aptos" w:hAnsi="Aptos"/>
                <w:b w:val="0"/>
                <w:color w:val="111827"/>
                <w:sz w:val="15"/>
              </w:rPr>
              <w:t>θ_eff</w:t>
            </w:r>
          </w:p>
        </w:tc>
        <w:tc>
          <w:tcPr>
            <w:tcW w:type="dxa" w:w="5112"/>
            <w:vAlign w:val="center"/>
            <w:shd w:fill="F3F4F6"/>
          </w:tcPr>
          <w:p>
            <w:pPr>
              <w:spacing w:after="0"/>
            </w:pPr>
            <w:r/>
            <w:r>
              <w:rPr>
                <w:rFonts w:ascii="Aptos" w:hAnsi="Aptos"/>
                <w:b w:val="0"/>
                <w:color w:val="111827"/>
                <w:sz w:val="15"/>
              </w:rPr>
              <w:t>Preferred head-fire direction under combined wind/slope forcing.</w:t>
            </w:r>
          </w:p>
        </w:tc>
      </w:tr>
      <w:tr>
        <w:tc>
          <w:tcPr>
            <w:tcW w:type="dxa" w:w="5112"/>
            <w:vAlign w:val="center"/>
          </w:tcPr>
          <w:p>
            <w:pPr>
              <w:spacing w:after="0"/>
            </w:pPr>
            <w:r/>
            <w:r>
              <w:rPr>
                <w:rFonts w:ascii="Aptos" w:hAnsi="Aptos"/>
                <w:b w:val="0"/>
                <w:color w:val="111827"/>
                <w:sz w:val="15"/>
              </w:rPr>
              <w:t>Direction anisotropy</w:t>
            </w:r>
          </w:p>
        </w:tc>
        <w:tc>
          <w:tcPr>
            <w:tcW w:type="dxa" w:w="5112"/>
            <w:vAlign w:val="center"/>
          </w:tcPr>
          <w:p>
            <w:pPr>
              <w:spacing w:after="0"/>
            </w:pPr>
            <w:r/>
            <w:r>
              <w:rPr>
                <w:rFonts w:ascii="Aptos" w:hAnsi="Aptos"/>
                <w:b w:val="0"/>
                <w:color w:val="111827"/>
                <w:sz w:val="15"/>
              </w:rPr>
              <w:t>Degree to which spread differs by direction; determined by the approved directional/elliptical formulation.</w:t>
            </w:r>
          </w:p>
        </w:tc>
      </w:tr>
    </w:tbl>
    <w:p/>
    <w:tbl>
      <w:tblPr>
        <w:tblStyle w:val="TableGrid"/>
        <w:tblW w:type="auto" w:w="0"/>
        <w:tblLook w:firstColumn="1" w:firstRow="1" w:lastColumn="0" w:lastRow="0" w:noHBand="0" w:noVBand="1" w:val="04A0"/>
      </w:tblPr>
      <w:tblGrid>
        <w:gridCol w:w="10224"/>
      </w:tblGrid>
      <w:tr>
        <w:trPr>
          <w:cantSplit/>
        </w:trPr>
        <w:tc>
          <w:tcPr>
            <w:tcW w:type="dxa" w:w="10224"/>
            <w:shd w:fill="EAF7EE"/>
          </w:tcPr>
          <w:p>
            <w:r/>
            <w:r>
              <w:rPr>
                <w:b/>
                <w:color w:val="166534"/>
                <w:sz w:val="18"/>
              </w:rPr>
              <w:t>Implementation note</w:t>
              <w:br/>
            </w:r>
            <w:r>
              <w:rPr>
                <w:sz w:val="17"/>
              </w:rPr>
              <w:t>The exact conversion from U_eff to ellipse eccentricity and directional ROS belongs to the calibrated directional-spread parameterization. Do not hard-code an unexplained linear 'eccentricity = wind × constant' relationship. The model must be monotonic, bounded and validated.</w:t>
            </w:r>
          </w:p>
        </w:tc>
      </w:tr>
    </w:tbl>
    <w:p/>
    <w:p>
      <w:pPr>
        <w:pStyle w:val="Heading1"/>
      </w:pPr>
      <w:r>
        <w:t>10. Base &amp; Directional Rate of Spread (ROS)</w:t>
      </w:r>
    </w:p>
    <w:p>
      <w:pPr>
        <w:pStyle w:val="Heading2"/>
      </w:pPr>
      <w:r>
        <w:t>10.1 Base ROS</w:t>
      </w:r>
    </w:p>
    <w:p>
      <w:r>
        <w:t>Each burnable cell begins with a fuel-specific baseline spread rate R0(c), representing the no-wind/no-slope reference under the configured reference moisture/context.</w:t>
      </w:r>
    </w:p>
    <w:p>
      <w:pPr>
        <w:jc w:val="center"/>
      </w:pPr>
      <w:r>
        <w:rPr>
          <w:rFonts w:ascii="Cambria Math" w:hAnsi="Cambria Math"/>
          <w:b/>
          <w:sz w:val="21"/>
        </w:rPr>
        <w:t>R_base(c) = R0(c) × F_M(c)</w:t>
      </w:r>
    </w:p>
    <w:p>
      <w:pPr>
        <w:pStyle w:val="Heading2"/>
      </w:pPr>
      <w:r>
        <w:t>10.2 Directional response</w:t>
      </w:r>
    </w:p>
    <w:p>
      <w:r>
        <w:t>The approved directional model maps the effective wind+slope forcing and the candidate propagation bearing d into a directional multiplier/ROS. For implementation, this should be represented by an explicit, testable function:</w:t>
      </w:r>
    </w:p>
    <w:p>
      <w:pPr>
        <w:jc w:val="center"/>
      </w:pPr>
      <w:r>
        <w:rPr>
          <w:rFonts w:ascii="Cambria Math" w:hAnsi="Cambria Math"/>
          <w:b/>
          <w:sz w:val="21"/>
        </w:rPr>
        <w:t>ROS(c,d) = R_base(c) × F_dir(c,d; V_eff, θ_eff, fuel)</w:t>
      </w:r>
    </w:p>
    <w:p>
      <w:r>
        <w:t>F_dir must be positive for burnable cells, equal to zero for non-burnable cells, and must be bounded according to the calibrated profile.</w:t>
      </w:r>
    </w:p>
    <w:p>
      <w:pPr>
        <w:pStyle w:val="Heading2"/>
      </w:pPr>
      <w:r>
        <w:t>10.3 Elliptical interpretation</w:t>
      </w:r>
    </w:p>
    <w:p>
      <w:r>
        <w:t>The directional response is represented as an ellipse-like anisotropic spread around the head-fire direction. The ellipse is a model representation of directional ROS, not a decorative shape drawn independently of the propagation.</w:t>
      </w:r>
    </w:p>
    <w:p>
      <w:pPr>
        <w:pStyle w:val="CodeBlock"/>
        <w:shd w:fill="F8FAFC"/>
      </w:pPr>
      <w:r>
        <w:t>For each candidate bearing d:</w:t>
        <w:br/>
        <w:t xml:space="preserve">  angular_offset = normalized_angle(d - θ_eff)</w:t>
        <w:br/>
        <w:t xml:space="preserve">  directional_factor = EllipseDirectionalFactor(</w:t>
        <w:br/>
        <w:t xml:space="preserve">      angular_offset,</w:t>
        <w:br/>
        <w:t xml:space="preserve">      eccentricity,</w:t>
        <w:br/>
        <w:t xml:space="preserve">      calibrated parameters</w:t>
        <w:br/>
        <w:t xml:space="preserve">  )</w:t>
        <w:br/>
        <w:t xml:space="preserve">  ROS(c,d) = R_base(c) × directional_factor</w:t>
        <w:br/>
      </w:r>
    </w:p>
    <w:p>
      <w:pPr>
        <w:pStyle w:val="Heading2"/>
      </w:pPr>
      <w:r>
        <w:t>10.4 No independent per-neighbor hand tuning</w:t>
      </w:r>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Rejected implementation</w:t>
              <w:br/>
            </w:r>
            <w:r>
              <w:rPr>
                <w:sz w:val="17"/>
              </w:rPr>
              <w:t>Do not create eight unrelated multipliers such as north×1.0, northeast×1.2, east×0.9, etc. without a physical/directional parameterization. Directional differences must emerge from the common vector/ellipse formulation and cell-specific inputs.</w:t>
            </w:r>
          </w:p>
        </w:tc>
      </w:tr>
    </w:tbl>
    <w:p/>
    <w:p>
      <w:pPr>
        <w:pStyle w:val="Heading1"/>
      </w:pPr>
      <w:r>
        <w:t>11. Simulation Grid &amp; Neighborhood</w:t>
      </w:r>
    </w:p>
    <w:p>
      <w:pPr>
        <w:pStyle w:val="Heading2"/>
      </w:pPr>
      <w:r>
        <w:t>11.1 Grid</w:t>
      </w:r>
    </w:p>
    <w:p>
      <w:r>
        <w:t>The simulation uses a regular 2D grid in projected metric coordinates.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Property</w:t>
            </w:r>
          </w:p>
        </w:tc>
        <w:tc>
          <w:tcPr>
            <w:tcW w:type="dxa" w:w="5112"/>
            <w:vAlign w:val="center"/>
            <w:shd w:fill="0B5A75"/>
          </w:tcPr>
          <w:p>
            <w:pPr>
              <w:spacing w:after="0"/>
            </w:pPr>
            <w:r/>
            <w:r>
              <w:rPr>
                <w:rFonts w:ascii="Aptos" w:hAnsi="Aptos"/>
                <w:b/>
                <w:color w:val="FFFFFF"/>
                <w:sz w:val="15"/>
              </w:rPr>
              <w:t>V1 rule</w:t>
            </w:r>
          </w:p>
        </w:tc>
      </w:tr>
      <w:tr>
        <w:tc>
          <w:tcPr>
            <w:tcW w:type="dxa" w:w="5112"/>
            <w:vAlign w:val="center"/>
          </w:tcPr>
          <w:p>
            <w:pPr>
              <w:spacing w:after="0"/>
            </w:pPr>
            <w:r/>
            <w:r>
              <w:rPr>
                <w:rFonts w:ascii="Aptos" w:hAnsi="Aptos"/>
                <w:b w:val="0"/>
                <w:color w:val="111827"/>
                <w:sz w:val="15"/>
              </w:rPr>
              <w:t>Grid shape</w:t>
            </w:r>
          </w:p>
        </w:tc>
        <w:tc>
          <w:tcPr>
            <w:tcW w:type="dxa" w:w="5112"/>
            <w:vAlign w:val="center"/>
          </w:tcPr>
          <w:p>
            <w:pPr>
              <w:spacing w:after="0"/>
            </w:pPr>
            <w:r/>
            <w:r>
              <w:rPr>
                <w:rFonts w:ascii="Aptos" w:hAnsi="Aptos"/>
                <w:b w:val="0"/>
                <w:color w:val="111827"/>
                <w:sz w:val="15"/>
              </w:rPr>
              <w:t>Rectangular raster grid.</w:t>
            </w:r>
          </w:p>
        </w:tc>
      </w:tr>
      <w:tr>
        <w:tc>
          <w:tcPr>
            <w:tcW w:type="dxa" w:w="5112"/>
            <w:vAlign w:val="center"/>
            <w:shd w:fill="F3F4F6"/>
          </w:tcPr>
          <w:p>
            <w:pPr>
              <w:spacing w:after="0"/>
            </w:pPr>
            <w:r/>
            <w:r>
              <w:rPr>
                <w:rFonts w:ascii="Aptos" w:hAnsi="Aptos"/>
                <w:b w:val="0"/>
                <w:color w:val="111827"/>
                <w:sz w:val="15"/>
              </w:rPr>
              <w:t>Neighbourhood</w:t>
            </w:r>
          </w:p>
        </w:tc>
        <w:tc>
          <w:tcPr>
            <w:tcW w:type="dxa" w:w="5112"/>
            <w:vAlign w:val="center"/>
            <w:shd w:fill="F3F4F6"/>
          </w:tcPr>
          <w:p>
            <w:pPr>
              <w:spacing w:after="0"/>
            </w:pPr>
            <w:r/>
            <w:r>
              <w:rPr>
                <w:rFonts w:ascii="Aptos" w:hAnsi="Aptos"/>
                <w:b w:val="0"/>
                <w:color w:val="111827"/>
                <w:sz w:val="15"/>
              </w:rPr>
              <w:t>8-neighbor topology.</w:t>
            </w:r>
          </w:p>
        </w:tc>
      </w:tr>
      <w:tr>
        <w:tc>
          <w:tcPr>
            <w:tcW w:type="dxa" w:w="5112"/>
            <w:vAlign w:val="center"/>
          </w:tcPr>
          <w:p>
            <w:pPr>
              <w:spacing w:after="0"/>
            </w:pPr>
            <w:r/>
            <w:r>
              <w:rPr>
                <w:rFonts w:ascii="Aptos" w:hAnsi="Aptos"/>
                <w:b w:val="0"/>
                <w:color w:val="111827"/>
                <w:sz w:val="15"/>
              </w:rPr>
              <w:t>Orthogonal distance</w:t>
            </w:r>
          </w:p>
        </w:tc>
        <w:tc>
          <w:tcPr>
            <w:tcW w:type="dxa" w:w="5112"/>
            <w:vAlign w:val="center"/>
          </w:tcPr>
          <w:p>
            <w:pPr>
              <w:spacing w:after="0"/>
            </w:pPr>
            <w:r/>
            <w:r>
              <w:rPr>
                <w:rFonts w:ascii="Aptos" w:hAnsi="Aptos"/>
                <w:b w:val="0"/>
                <w:color w:val="111827"/>
                <w:sz w:val="15"/>
              </w:rPr>
              <w:t>Δ.</w:t>
            </w:r>
          </w:p>
        </w:tc>
      </w:tr>
      <w:tr>
        <w:tc>
          <w:tcPr>
            <w:tcW w:type="dxa" w:w="5112"/>
            <w:vAlign w:val="center"/>
            <w:shd w:fill="F3F4F6"/>
          </w:tcPr>
          <w:p>
            <w:pPr>
              <w:spacing w:after="0"/>
            </w:pPr>
            <w:r/>
            <w:r>
              <w:rPr>
                <w:rFonts w:ascii="Aptos" w:hAnsi="Aptos"/>
                <w:b w:val="0"/>
                <w:color w:val="111827"/>
                <w:sz w:val="15"/>
              </w:rPr>
              <w:t>Diagonal distance</w:t>
            </w:r>
          </w:p>
        </w:tc>
        <w:tc>
          <w:tcPr>
            <w:tcW w:type="dxa" w:w="5112"/>
            <w:vAlign w:val="center"/>
            <w:shd w:fill="F3F4F6"/>
          </w:tcPr>
          <w:p>
            <w:pPr>
              <w:spacing w:after="0"/>
            </w:pPr>
            <w:r/>
            <w:r>
              <w:rPr>
                <w:rFonts w:ascii="Aptos" w:hAnsi="Aptos"/>
                <w:b w:val="0"/>
                <w:color w:val="111827"/>
                <w:sz w:val="15"/>
              </w:rPr>
              <w:t>Δ√2.</w:t>
            </w:r>
          </w:p>
        </w:tc>
      </w:tr>
      <w:tr>
        <w:tc>
          <w:tcPr>
            <w:tcW w:type="dxa" w:w="5112"/>
            <w:vAlign w:val="center"/>
          </w:tcPr>
          <w:p>
            <w:pPr>
              <w:spacing w:after="0"/>
            </w:pPr>
            <w:r/>
            <w:r>
              <w:rPr>
                <w:rFonts w:ascii="Aptos" w:hAnsi="Aptos"/>
                <w:b w:val="0"/>
                <w:color w:val="111827"/>
                <w:sz w:val="15"/>
              </w:rPr>
              <w:t>Cell coordinate</w:t>
            </w:r>
          </w:p>
        </w:tc>
        <w:tc>
          <w:tcPr>
            <w:tcW w:type="dxa" w:w="5112"/>
            <w:vAlign w:val="center"/>
          </w:tcPr>
          <w:p>
            <w:pPr>
              <w:spacing w:after="0"/>
            </w:pPr>
            <w:r/>
            <w:r>
              <w:rPr>
                <w:rFonts w:ascii="Aptos" w:hAnsi="Aptos"/>
                <w:b w:val="0"/>
                <w:color w:val="111827"/>
                <w:sz w:val="15"/>
              </w:rPr>
              <w:t>Projected x/y plus row/col index.</w:t>
            </w:r>
          </w:p>
        </w:tc>
      </w:tr>
    </w:tbl>
    <w:p/>
    <w:p>
      <w:pPr>
        <w:jc w:val="center"/>
      </w:pPr>
      <w:r>
        <w:rPr>
          <w:rFonts w:ascii="Cambria Math" w:hAnsi="Cambria Math"/>
          <w:b/>
          <w:sz w:val="21"/>
        </w:rPr>
        <w:t>d(c,n) = Δ, if orthogonal;  Δ√2, if diagonal</w:t>
      </w:r>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Critical test</w:t>
              <w:br/>
            </w:r>
            <w:r>
              <w:rPr>
                <w:sz w:val="17"/>
              </w:rPr>
              <w:t>Using Δ for diagonal neighbors is a correctness bug. It overestimates diagonal spread by √2 and can produce diamond/star artifacts in calm-wind uniform tests. fileciteturn19file1</w:t>
            </w:r>
          </w:p>
        </w:tc>
      </w:tr>
    </w:tbl>
    <w:p/>
    <w:p>
      <w:pPr>
        <w:pStyle w:val="Heading1"/>
      </w:pPr>
      <w:r>
        <w:t>12. Arrival-Time Propagation</w:t>
      </w:r>
    </w:p>
    <w:p>
      <w:pPr>
        <w:pStyle w:val="Heading2"/>
      </w:pPr>
      <w:r>
        <w:t>12.1 Source of truth</w:t>
      </w:r>
    </w:p>
    <w:p>
      <w:r>
        <w:t>The primary output of the spread simulation is an arrival-time field T_a(c), not a frame-by-frame animation state. Any visualization of the fire front must be derived from this field.</w:t>
      </w:r>
    </w:p>
    <w:p>
      <w:pPr>
        <w:pStyle w:val="Heading2"/>
      </w:pPr>
      <w:r>
        <w:t>12.2 Initialization</w:t>
      </w:r>
    </w:p>
    <w:p>
      <w:pPr>
        <w:pStyle w:val="CodeBlock"/>
        <w:shd w:fill="F8FAFC"/>
      </w:pPr>
      <w:r>
        <w:t>For all cells c:</w:t>
        <w:br/>
        <w:t xml:space="preserve">  T_a(c) = +∞</w:t>
        <w:br/>
        <w:t xml:space="preserve">  state(c) = UNBURNED</w:t>
        <w:br/>
        <w:br/>
        <w:t>Map ignition point to seed cell s:</w:t>
        <w:br/>
        <w:t xml:space="preserve">  T_a(s) = t0</w:t>
        <w:br/>
        <w:t xml:space="preserve">  state(s) = IGNITED</w:t>
        <w:br/>
      </w:r>
    </w:p>
    <w:p>
      <w:pPr>
        <w:pStyle w:val="Heading2"/>
      </w:pPr>
      <w:r>
        <w:t>12.3 Candidate arrival</w:t>
      </w:r>
    </w:p>
    <w:p>
      <w:pPr>
        <w:jc w:val="center"/>
      </w:pPr>
      <w:r>
        <w:rPr>
          <w:rFonts w:ascii="Cambria Math" w:hAnsi="Cambria Math"/>
          <w:b/>
          <w:sz w:val="21"/>
        </w:rPr>
        <w:t>T_candidate(n) = T_a(c) + d(c,n) / ROS(c,d)</w:t>
      </w:r>
    </w:p>
    <w:p>
      <w:pPr>
        <w:jc w:val="center"/>
      </w:pPr>
      <w:r>
        <w:rPr>
          <w:rFonts w:ascii="Cambria Math" w:hAnsi="Cambria Math"/>
          <w:b/>
          <w:sz w:val="21"/>
        </w:rPr>
        <w:t>T_a(n) = min[T_a(n), T_candidate(n)]</w:t>
      </w:r>
    </w:p>
    <w:p>
      <w:r>
        <w:t>The direction d is the bearing from cell c to neighbour n in the model's coordinate convention.</w:t>
      </w:r>
    </w:p>
    <w:p>
      <w:pPr>
        <w:pStyle w:val="Heading2"/>
      </w:pPr>
      <w:r>
        <w:t>12.4 Priority queue</w:t>
      </w:r>
    </w:p>
    <w:p>
      <w:r>
        <w:t>Use a min-priority queue keyed by the current best arrival time. This produces event-based propagation without requiring a tiny fixed simulation timestep. It is appropriate for the SIH prototype because the output is a minimum-travel-time/arrival field rather than a full transient combustion PDE.</w:t>
      </w:r>
    </w:p>
    <w:p>
      <w:pPr>
        <w:pStyle w:val="CodeBlock"/>
        <w:shd w:fill="F8FAFC"/>
      </w:pPr>
      <w:r>
        <w:t>push(seed, T_a(seed))</w:t>
        <w:br/>
        <w:br/>
        <w:t>while queue not empty:</w:t>
        <w:br/>
        <w:t xml:space="preserve">    c = pop_min()</w:t>
        <w:br/>
        <w:t xml:space="preserve">    if popped_time &gt; T_a(c):</w:t>
        <w:br/>
        <w:t xml:space="preserve">        continue</w:t>
        <w:br/>
        <w:br/>
        <w:t xml:space="preserve">    for each neighbour n:</w:t>
        <w:br/>
        <w:t xml:space="preserve">        if outside_domain: continue</w:t>
        <w:br/>
        <w:t xml:space="preserve">        if not burnable(n): continue</w:t>
        <w:br/>
        <w:t xml:space="preserve">        if already_burned_or_frozen(n): continue</w:t>
        <w:br/>
        <w:br/>
        <w:t xml:space="preserve">        d = neighbor_distance(c,n)</w:t>
        <w:br/>
        <w:t xml:space="preserve">        bearing = direction(c,n)</w:t>
        <w:br/>
        <w:t xml:space="preserve">        ros = compute_ros(c, bearing)</w:t>
        <w:br/>
        <w:br/>
        <w:t xml:space="preserve">        if ros &lt;= 0:</w:t>
        <w:br/>
        <w:t xml:space="preserve">            continue</w:t>
        <w:br/>
        <w:br/>
        <w:t xml:space="preserve">        candidate = T_a(c) + d/ros</w:t>
        <w:br/>
        <w:br/>
        <w:t xml:space="preserve">        if candidate &lt; T_a(n):</w:t>
        <w:br/>
        <w:t xml:space="preserve">            T_a(n) = candidate</w:t>
        <w:br/>
        <w:t xml:space="preserve">            parent(n) = c</w:t>
        <w:br/>
        <w:t xml:space="preserve">            push(n, candidate)</w:t>
        <w:br/>
      </w:r>
    </w:p>
    <w:p>
      <w:pPr>
        <w:pStyle w:val="Heading2"/>
      </w:pPr>
      <w:r>
        <w:t>12.5 Cell state semantics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State</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UNBURNED</w:t>
            </w:r>
          </w:p>
        </w:tc>
        <w:tc>
          <w:tcPr>
            <w:tcW w:type="dxa" w:w="5112"/>
            <w:vAlign w:val="center"/>
          </w:tcPr>
          <w:p>
            <w:pPr>
              <w:spacing w:after="0"/>
            </w:pPr>
            <w:r/>
            <w:r>
              <w:rPr>
                <w:rFonts w:ascii="Aptos" w:hAnsi="Aptos"/>
                <w:b w:val="0"/>
                <w:color w:val="111827"/>
                <w:sz w:val="15"/>
              </w:rPr>
              <w:t>Arrival time not reached yet.</w:t>
            </w:r>
          </w:p>
        </w:tc>
      </w:tr>
      <w:tr>
        <w:tc>
          <w:tcPr>
            <w:tcW w:type="dxa" w:w="5112"/>
            <w:vAlign w:val="center"/>
            <w:shd w:fill="F3F4F6"/>
          </w:tcPr>
          <w:p>
            <w:pPr>
              <w:spacing w:after="0"/>
            </w:pPr>
            <w:r/>
            <w:r>
              <w:rPr>
                <w:rFonts w:ascii="Aptos" w:hAnsi="Aptos"/>
                <w:b w:val="0"/>
                <w:color w:val="111827"/>
                <w:sz w:val="15"/>
              </w:rPr>
              <w:t>IGNITED</w:t>
            </w:r>
          </w:p>
        </w:tc>
        <w:tc>
          <w:tcPr>
            <w:tcW w:type="dxa" w:w="5112"/>
            <w:vAlign w:val="center"/>
            <w:shd w:fill="F3F4F6"/>
          </w:tcPr>
          <w:p>
            <w:pPr>
              <w:spacing w:after="0"/>
            </w:pPr>
            <w:r/>
            <w:r>
              <w:rPr>
                <w:rFonts w:ascii="Aptos" w:hAnsi="Aptos"/>
                <w:b w:val="0"/>
                <w:color w:val="111827"/>
                <w:sz w:val="15"/>
              </w:rPr>
              <w:t>Seed/current event initialization state.</w:t>
            </w:r>
          </w:p>
        </w:tc>
      </w:tr>
      <w:tr>
        <w:tc>
          <w:tcPr>
            <w:tcW w:type="dxa" w:w="5112"/>
            <w:vAlign w:val="center"/>
          </w:tcPr>
          <w:p>
            <w:pPr>
              <w:spacing w:after="0"/>
            </w:pPr>
            <w:r/>
            <w:r>
              <w:rPr>
                <w:rFonts w:ascii="Aptos" w:hAnsi="Aptos"/>
                <w:b w:val="0"/>
                <w:color w:val="111827"/>
                <w:sz w:val="15"/>
              </w:rPr>
              <w:t>BURNING</w:t>
            </w:r>
          </w:p>
        </w:tc>
        <w:tc>
          <w:tcPr>
            <w:tcW w:type="dxa" w:w="5112"/>
            <w:vAlign w:val="center"/>
          </w:tcPr>
          <w:p>
            <w:pPr>
              <w:spacing w:after="0"/>
            </w:pPr>
            <w:r/>
            <w:r>
              <w:rPr>
                <w:rFonts w:ascii="Aptos" w:hAnsi="Aptos"/>
                <w:b w:val="0"/>
                <w:color w:val="111827"/>
                <w:sz w:val="15"/>
              </w:rPr>
              <w:t>Cell's arrival time is current/past and active under the run's semantic model.</w:t>
            </w:r>
          </w:p>
        </w:tc>
      </w:tr>
      <w:tr>
        <w:tc>
          <w:tcPr>
            <w:tcW w:type="dxa" w:w="5112"/>
            <w:vAlign w:val="center"/>
            <w:shd w:fill="F3F4F6"/>
          </w:tcPr>
          <w:p>
            <w:pPr>
              <w:spacing w:after="0"/>
            </w:pPr>
            <w:r/>
            <w:r>
              <w:rPr>
                <w:rFonts w:ascii="Aptos" w:hAnsi="Aptos"/>
                <w:b w:val="0"/>
                <w:color w:val="111827"/>
                <w:sz w:val="15"/>
              </w:rPr>
              <w:t>BURNED</w:t>
            </w:r>
          </w:p>
        </w:tc>
        <w:tc>
          <w:tcPr>
            <w:tcW w:type="dxa" w:w="5112"/>
            <w:vAlign w:val="center"/>
            <w:shd w:fill="F3F4F6"/>
          </w:tcPr>
          <w:p>
            <w:pPr>
              <w:spacing w:after="0"/>
            </w:pPr>
            <w:r/>
            <w:r>
              <w:rPr>
                <w:rFonts w:ascii="Aptos" w:hAnsi="Aptos"/>
                <w:b w:val="0"/>
                <w:color w:val="111827"/>
                <w:sz w:val="15"/>
              </w:rPr>
              <w:t>Cell has passed through the active burn window; V1 does not support reignition.</w:t>
            </w:r>
          </w:p>
        </w:tc>
      </w:tr>
    </w:tbl>
    <w:p/>
    <w:p>
      <w:pPr>
        <w:pStyle w:val="Heading2"/>
      </w:pPr>
      <w:r>
        <w:t>12.6 No reignition</w:t>
      </w:r>
    </w:p>
    <w:p>
      <w:r>
        <w:t>Once a cell has been treated as burned in a run, V1 does not model ember-driven re-ignition. This is a documented scope boundary.</w:t>
      </w:r>
    </w:p>
    <w:p>
      <w:pPr>
        <w:pStyle w:val="Heading1"/>
      </w:pPr>
      <w:r>
        <w:t>13. Current, Warning &amp; Projection</w:t>
      </w:r>
    </w:p>
    <w:p>
      <w:pPr>
        <w:pStyle w:val="Heading2"/>
      </w:pPr>
      <w:r>
        <w:t>13.1 Current footprint</w:t>
      </w:r>
    </w:p>
    <w:p>
      <w:pPr>
        <w:jc w:val="center"/>
      </w:pPr>
      <w:r>
        <w:rPr>
          <w:rFonts w:ascii="Cambria Math" w:hAnsi="Cambria Math"/>
          <w:b/>
          <w:sz w:val="21"/>
        </w:rPr>
        <w:t>A_current(t) = { c | T_a(c) ≤ t }</w:t>
      </w:r>
    </w:p>
    <w:p>
      <w:pPr>
        <w:pStyle w:val="Heading2"/>
      </w:pPr>
      <w:r>
        <w:t>13.2 Warning zone</w:t>
      </w:r>
    </w:p>
    <w:p>
      <w:pPr>
        <w:jc w:val="center"/>
      </w:pPr>
      <w:r>
        <w:rPr>
          <w:rFonts w:ascii="Cambria Math" w:hAnsi="Cambria Math"/>
          <w:b/>
          <w:sz w:val="21"/>
        </w:rPr>
        <w:t>A_warning(t) = { c | t &lt; T_a(c) ≤ t + τ_w }</w:t>
      </w:r>
    </w:p>
    <w:p>
      <w:pPr>
        <w:pStyle w:val="Heading2"/>
      </w:pPr>
      <w:r>
        <w:t>13.3 Projection zone</w:t>
      </w:r>
    </w:p>
    <w:p>
      <w:pPr>
        <w:jc w:val="center"/>
      </w:pPr>
      <w:r>
        <w:rPr>
          <w:rFonts w:ascii="Cambria Math" w:hAnsi="Cambria Math"/>
          <w:b/>
          <w:sz w:val="21"/>
        </w:rPr>
        <w:t>A_projection(t) = { c | t &lt; T_a(c) ≤ t + τ_p }</w:t>
      </w:r>
    </w:p>
    <w:p>
      <w:pPr>
        <w:jc w:val="center"/>
      </w:pPr>
      <w:r>
        <w:rPr>
          <w:rFonts w:ascii="Cambria Math" w:hAnsi="Cambria Math"/>
          <w:b/>
          <w:sz w:val="21"/>
        </w:rPr>
        <w:t>τ_p &gt; τ_w &gt; 0</w:t>
      </w:r>
    </w:p>
    <w:p>
      <w:r>
        <w:t>Projection is conditional on the model assumptions remaining valid for the forecast horizon. It must be labeled accordingly.</w:t>
      </w:r>
    </w:p>
    <w:p>
      <w:pPr>
        <w:pStyle w:val="Heading2"/>
      </w:pPr>
      <w:r>
        <w:t>13.4 Nested geometry rule</w:t>
      </w:r>
    </w:p>
    <w:p>
      <w:pPr>
        <w:jc w:val="center"/>
      </w:pPr>
      <w:r>
        <w:rPr>
          <w:rFonts w:ascii="Cambria Math" w:hAnsi="Cambria Math"/>
          <w:b/>
          <w:sz w:val="21"/>
        </w:rPr>
        <w:t>A_current ⊆ A_warning_cumulative ∪ A_current ⊆ A_projection_cumulative</w:t>
      </w:r>
    </w:p>
    <w:p>
      <w:r>
        <w:t>For UI clarity, the preferred dashboard representation is cumulative zones derived from arrival thresholds. If the UI presents disjoint ring populations/areas, explicitly define those rings. Never mix cumulative and disjoint semantics silently.</w:t>
      </w:r>
    </w:p>
    <w:p>
      <w:pPr>
        <w:pStyle w:val="Heading2"/>
      </w:pPr>
      <w:r>
        <w:t>13.5 Replay</w:t>
      </w:r>
    </w:p>
    <w:p>
      <w:r>
        <w:t>Replay uses the same arrival-time field. Moving the timeline changes the threshold t; it must not invoke a different rendering algorithm that disagrees with the field.</w:t>
      </w:r>
    </w:p>
    <w:p>
      <w:pPr>
        <w:pStyle w:val="Heading1"/>
      </w:pPr>
      <w:r>
        <w:t>14. Changing Environmental Conditions During a Run</w:t>
      </w:r>
    </w:p>
    <w:p>
      <w:pPr>
        <w:pStyle w:val="Heading2"/>
      </w:pPr>
      <w:r>
        <w:t>14.1 Problem</w:t>
      </w:r>
    </w:p>
    <w:p>
      <w:r>
        <w:t>A precomputed arrival-time field assumes its environmental inputs remain valid over the modeled period. If meaningful inputs change—especially wind direction/speed or other material forcing—the future field must be recomputed.</w:t>
      </w:r>
    </w:p>
    <w:p>
      <w:pPr>
        <w:pStyle w:val="Heading2"/>
      </w:pPr>
      <w:r>
        <w:t>14.2 Mandatory recompute strategy</w:t>
      </w:r>
    </w:p>
    <w:p>
      <w:pPr>
        <w:pStyle w:val="CodeBlock"/>
        <w:shd w:fill="F8FAFC"/>
      </w:pPr>
      <w:r>
        <w:t>At update time t_update:</w:t>
        <w:br/>
        <w:t xml:space="preserve">  1. Freeze historical truth:</w:t>
        <w:br/>
        <w:t xml:space="preserve">       cells with T_a(c) &lt;= t_update remain historical/current truth.</w:t>
        <w:br/>
        <w:t xml:space="preserve">  2. Extract current perimeter/frontier:</w:t>
        <w:br/>
        <w:t xml:space="preserve">       cells at or near the current boundary.</w:t>
        <w:br/>
        <w:t xml:space="preserve">  3. Apply new environmental/fuel/context inputs.</w:t>
        <w:br/>
        <w:t xml:space="preserve">  4. Reset future/unreached arrival times for affected domain.</w:t>
        <w:br/>
        <w:t xml:space="preserve">  5. Seed queue from current perimeter with arrival=t_update</w:t>
        <w:br/>
        <w:t xml:space="preserve">       (preserve elapsed history).</w:t>
        <w:br/>
        <w:t xml:space="preserve">  6. Recompute future propagation.</w:t>
        <w:br/>
        <w:t xml:space="preserve">  7. Generate a new projection version.</w:t>
        <w:br/>
        <w:t xml:space="preserve">  8. Record "projection updated" event.</w:t>
        <w:br/>
      </w:r>
    </w:p>
    <w:tbl>
      <w:tblPr>
        <w:tblStyle w:val="TableGrid"/>
        <w:tblW w:type="auto" w:w="0"/>
        <w:tblLook w:firstColumn="1" w:firstRow="1" w:lastColumn="0" w:lastRow="0" w:noHBand="0" w:noVBand="1" w:val="04A0"/>
      </w:tblPr>
      <w:tblGrid>
        <w:gridCol w:w="10224"/>
      </w:tblGrid>
      <w:tr>
        <w:trPr>
          <w:cantSplit/>
        </w:trPr>
        <w:tc>
          <w:tcPr>
            <w:tcW w:type="dxa" w:w="10224"/>
            <w:shd w:fill="EAF4F8"/>
          </w:tcPr>
          <w:p>
            <w:r/>
            <w:r>
              <w:rPr>
                <w:b/>
                <w:color w:val="0B5A75"/>
                <w:sz w:val="18"/>
              </w:rPr>
              <w:t>Important</w:t>
              <w:br/>
            </w:r>
            <w:r>
              <w:rPr>
                <w:sz w:val="17"/>
              </w:rPr>
              <w:t>Do not silently rewrite the past. A dashboard should show that the future projection changed because model inputs changed. The red-team review explicitly requires recomputation from the current perimeter rather than patching an old field. fileciteturn19file14</w:t>
            </w:r>
          </w:p>
        </w:tc>
      </w:tr>
    </w:tbl>
    <w:p/>
    <w:p>
      <w:pPr>
        <w:pStyle w:val="Heading1"/>
      </w:pPr>
      <w:r>
        <w:t>15. Non-Burnable Cells &amp; Barriers</w:t>
      </w:r>
    </w:p>
    <w:p>
      <w:pPr>
        <w:pStyle w:val="Heading2"/>
      </w:pPr>
      <w:r>
        <w:t>15.1 Rule</w:t>
      </w:r>
    </w:p>
    <w:p>
      <w:pPr>
        <w:jc w:val="center"/>
      </w:pPr>
      <w:r>
        <w:rPr>
          <w:rFonts w:ascii="Cambria Math" w:hAnsi="Cambria Math"/>
          <w:b/>
          <w:sz w:val="21"/>
        </w:rPr>
        <w:t>if burnable(c) = false → ROS(c,d) = 0</w:t>
      </w:r>
    </w:p>
    <w:p>
      <w:r>
        <w:t>A non-burnable cell is not merely painted as a firebreak. It is excluded from propagation. The event-based algorithm naturally routes around it through reachable burnable neighbors.</w:t>
      </w:r>
    </w:p>
    <w:p>
      <w:pPr>
        <w:pStyle w:val="Heading2"/>
      </w:pPr>
      <w:r>
        <w:t>15.2 Barrier examples</w:t>
      </w:r>
    </w:p>
    <w:p>
      <w:pPr>
        <w:pStyle w:val="ListBullet"/>
        <w:spacing w:after="40"/>
      </w:pPr>
      <w:r>
        <w:t>Water body.</w:t>
      </w:r>
    </w:p>
    <w:p>
      <w:pPr>
        <w:pStyle w:val="ListBullet"/>
        <w:spacing w:after="40"/>
      </w:pPr>
      <w:r>
        <w:t>Configured non-burnable land cover.</w:t>
      </w:r>
    </w:p>
    <w:p>
      <w:pPr>
        <w:pStyle w:val="ListBullet"/>
        <w:spacing w:after="40"/>
      </w:pPr>
      <w:r>
        <w:t>Explicit synthetic firebreak test strip.</w:t>
      </w:r>
    </w:p>
    <w:p>
      <w:pPr>
        <w:pStyle w:val="ListBullet"/>
        <w:spacing w:after="40"/>
      </w:pPr>
      <w:r>
        <w:t>Map-domain masked-out area.</w:t>
      </w:r>
    </w:p>
    <w:p>
      <w:pPr>
        <w:pStyle w:val="Heading2"/>
      </w:pPr>
      <w:r>
        <w:t>15.3 Ignition on non-burnable cell</w:t>
      </w:r>
    </w:p>
    <w:p>
      <w:r>
        <w:t>An ignition point mapping to a non-burnable cell is an invalid simulation input and must be rejected/flagged rather than producing an empty or contradictory simulation.</w:t>
      </w:r>
    </w:p>
    <w:p>
      <w:pPr>
        <w:pStyle w:val="Heading1"/>
      </w:pPr>
      <w:r>
        <w:t>16. Domain Boundaries &amp; Missing Geodata</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Condition</w:t>
            </w:r>
          </w:p>
        </w:tc>
        <w:tc>
          <w:tcPr>
            <w:tcW w:type="dxa" w:w="5112"/>
            <w:vAlign w:val="center"/>
            <w:shd w:fill="0B5A75"/>
          </w:tcPr>
          <w:p>
            <w:pPr>
              <w:spacing w:after="0"/>
            </w:pPr>
            <w:r/>
            <w:r>
              <w:rPr>
                <w:rFonts w:ascii="Aptos" w:hAnsi="Aptos"/>
                <w:b/>
                <w:color w:val="FFFFFF"/>
                <w:sz w:val="15"/>
              </w:rPr>
              <w:t>Required behavior</w:t>
            </w:r>
          </w:p>
        </w:tc>
      </w:tr>
      <w:tr>
        <w:tc>
          <w:tcPr>
            <w:tcW w:type="dxa" w:w="5112"/>
            <w:vAlign w:val="center"/>
          </w:tcPr>
          <w:p>
            <w:pPr>
              <w:spacing w:after="0"/>
            </w:pPr>
            <w:r/>
            <w:r>
              <w:rPr>
                <w:rFonts w:ascii="Aptos" w:hAnsi="Aptos"/>
                <w:b w:val="0"/>
                <w:color w:val="111827"/>
                <w:sz w:val="15"/>
              </w:rPr>
              <w:t>Fire reaches simulation edge</w:t>
            </w:r>
          </w:p>
        </w:tc>
        <w:tc>
          <w:tcPr>
            <w:tcW w:type="dxa" w:w="5112"/>
            <w:vAlign w:val="center"/>
          </w:tcPr>
          <w:p>
            <w:pPr>
              <w:spacing w:after="0"/>
            </w:pPr>
            <w:r/>
            <w:r>
              <w:rPr>
                <w:rFonts w:ascii="Aptos" w:hAnsi="Aptos"/>
                <w:b w:val="0"/>
                <w:color w:val="111827"/>
                <w:sz w:val="15"/>
              </w:rPr>
              <w:t>Clip geometry; display 'Projection clipped to simulation domain.'</w:t>
            </w:r>
          </w:p>
        </w:tc>
      </w:tr>
      <w:tr>
        <w:tc>
          <w:tcPr>
            <w:tcW w:type="dxa" w:w="5112"/>
            <w:vAlign w:val="center"/>
            <w:shd w:fill="F3F4F6"/>
          </w:tcPr>
          <w:p>
            <w:pPr>
              <w:spacing w:after="0"/>
            </w:pPr>
            <w:r/>
            <w:r>
              <w:rPr>
                <w:rFonts w:ascii="Aptos" w:hAnsi="Aptos"/>
                <w:b w:val="0"/>
                <w:color w:val="111827"/>
                <w:sz w:val="15"/>
              </w:rPr>
              <w:t>Ignition outside domain</w:t>
            </w:r>
          </w:p>
        </w:tc>
        <w:tc>
          <w:tcPr>
            <w:tcW w:type="dxa" w:w="5112"/>
            <w:vAlign w:val="center"/>
            <w:shd w:fill="F3F4F6"/>
          </w:tcPr>
          <w:p>
            <w:pPr>
              <w:spacing w:after="0"/>
            </w:pPr>
            <w:r/>
            <w:r>
              <w:rPr>
                <w:rFonts w:ascii="Aptos" w:hAnsi="Aptos"/>
                <w:b w:val="0"/>
                <w:color w:val="111827"/>
                <w:sz w:val="15"/>
              </w:rPr>
              <w:t>Reject or require explicit domain expansion; do not silently clamp.</w:t>
            </w:r>
          </w:p>
        </w:tc>
      </w:tr>
      <w:tr>
        <w:tc>
          <w:tcPr>
            <w:tcW w:type="dxa" w:w="5112"/>
            <w:vAlign w:val="center"/>
          </w:tcPr>
          <w:p>
            <w:pPr>
              <w:spacing w:after="0"/>
            </w:pPr>
            <w:r/>
            <w:r>
              <w:rPr>
                <w:rFonts w:ascii="Aptos" w:hAnsi="Aptos"/>
                <w:b w:val="0"/>
                <w:color w:val="111827"/>
                <w:sz w:val="15"/>
              </w:rPr>
              <w:t>Missing DEM</w:t>
            </w:r>
          </w:p>
        </w:tc>
        <w:tc>
          <w:tcPr>
            <w:tcW w:type="dxa" w:w="5112"/>
            <w:vAlign w:val="center"/>
          </w:tcPr>
          <w:p>
            <w:pPr>
              <w:spacing w:after="0"/>
            </w:pPr>
            <w:r/>
            <w:r>
              <w:rPr>
                <w:rFonts w:ascii="Aptos" w:hAnsi="Aptos"/>
                <w:b w:val="0"/>
                <w:color w:val="111827"/>
                <w:sz w:val="15"/>
              </w:rPr>
              <w:t>Optional flat-terrain fallback only if configured; label TERRAIN_DEGRADED.</w:t>
            </w:r>
          </w:p>
        </w:tc>
      </w:tr>
      <w:tr>
        <w:tc>
          <w:tcPr>
            <w:tcW w:type="dxa" w:w="5112"/>
            <w:vAlign w:val="center"/>
            <w:shd w:fill="F3F4F6"/>
          </w:tcPr>
          <w:p>
            <w:pPr>
              <w:spacing w:after="0"/>
            </w:pPr>
            <w:r/>
            <w:r>
              <w:rPr>
                <w:rFonts w:ascii="Aptos" w:hAnsi="Aptos"/>
                <w:b w:val="0"/>
                <w:color w:val="111827"/>
                <w:sz w:val="15"/>
              </w:rPr>
              <w:t>Missing fuel</w:t>
            </w:r>
          </w:p>
        </w:tc>
        <w:tc>
          <w:tcPr>
            <w:tcW w:type="dxa" w:w="5112"/>
            <w:vAlign w:val="center"/>
            <w:shd w:fill="F3F4F6"/>
          </w:tcPr>
          <w:p>
            <w:pPr>
              <w:spacing w:after="0"/>
            </w:pPr>
            <w:r/>
            <w:r>
              <w:rPr>
                <w:rFonts w:ascii="Aptos" w:hAnsi="Aptos"/>
                <w:b w:val="0"/>
                <w:color w:val="111827"/>
                <w:sz w:val="15"/>
              </w:rPr>
              <w:t>Use only an explicit simplified/default fuel profile if configured; label assumption.</w:t>
            </w:r>
          </w:p>
        </w:tc>
      </w:tr>
      <w:tr>
        <w:tc>
          <w:tcPr>
            <w:tcW w:type="dxa" w:w="5112"/>
            <w:vAlign w:val="center"/>
          </w:tcPr>
          <w:p>
            <w:pPr>
              <w:spacing w:after="0"/>
            </w:pPr>
            <w:r/>
            <w:r>
              <w:rPr>
                <w:rFonts w:ascii="Aptos" w:hAnsi="Aptos"/>
                <w:b w:val="0"/>
                <w:color w:val="111827"/>
                <w:sz w:val="15"/>
              </w:rPr>
              <w:t>Missing moisture</w:t>
            </w:r>
          </w:p>
        </w:tc>
        <w:tc>
          <w:tcPr>
            <w:tcW w:type="dxa" w:w="5112"/>
            <w:vAlign w:val="center"/>
          </w:tcPr>
          <w:p>
            <w:pPr>
              <w:spacing w:after="0"/>
            </w:pPr>
            <w:r/>
            <w:r>
              <w:rPr>
                <w:rFonts w:ascii="Aptos" w:hAnsi="Aptos"/>
                <w:b w:val="0"/>
                <w:color w:val="111827"/>
                <w:sz w:val="15"/>
              </w:rPr>
              <w:t>Use explicit default moisture profile only if configured; label assumption.</w:t>
            </w:r>
          </w:p>
        </w:tc>
      </w:tr>
      <w:tr>
        <w:tc>
          <w:tcPr>
            <w:tcW w:type="dxa" w:w="5112"/>
            <w:vAlign w:val="center"/>
            <w:shd w:fill="F3F4F6"/>
          </w:tcPr>
          <w:p>
            <w:pPr>
              <w:spacing w:after="0"/>
            </w:pPr>
            <w:r/>
            <w:r>
              <w:rPr>
                <w:rFonts w:ascii="Aptos" w:hAnsi="Aptos"/>
                <w:b w:val="0"/>
                <w:color w:val="111827"/>
                <w:sz w:val="15"/>
              </w:rPr>
              <w:t>Missing wind</w:t>
            </w:r>
          </w:p>
        </w:tc>
        <w:tc>
          <w:tcPr>
            <w:tcW w:type="dxa" w:w="5112"/>
            <w:vAlign w:val="center"/>
            <w:shd w:fill="F3F4F6"/>
          </w:tcPr>
          <w:p>
            <w:pPr>
              <w:spacing w:after="0"/>
            </w:pPr>
            <w:r/>
            <w:r>
              <w:rPr>
                <w:rFonts w:ascii="Aptos" w:hAnsi="Aptos"/>
                <w:b w:val="0"/>
                <w:color w:val="111827"/>
                <w:sz w:val="15"/>
              </w:rPr>
              <w:t>Calm/assumed-wind path only if configured; label DEGRADED.</w:t>
            </w:r>
          </w:p>
        </w:tc>
      </w:tr>
      <w:tr>
        <w:tc>
          <w:tcPr>
            <w:tcW w:type="dxa" w:w="5112"/>
            <w:vAlign w:val="center"/>
          </w:tcPr>
          <w:p>
            <w:pPr>
              <w:spacing w:after="0"/>
            </w:pPr>
            <w:r/>
            <w:r>
              <w:rPr>
                <w:rFonts w:ascii="Aptos" w:hAnsi="Aptos"/>
                <w:b w:val="0"/>
                <w:color w:val="111827"/>
                <w:sz w:val="15"/>
              </w:rPr>
              <w:t>Invalid fuel value</w:t>
            </w:r>
          </w:p>
        </w:tc>
        <w:tc>
          <w:tcPr>
            <w:tcW w:type="dxa" w:w="5112"/>
            <w:vAlign w:val="center"/>
          </w:tcPr>
          <w:p>
            <w:pPr>
              <w:spacing w:after="0"/>
            </w:pPr>
            <w:r/>
            <w:r>
              <w:rPr>
                <w:rFonts w:ascii="Aptos" w:hAnsi="Aptos"/>
                <w:b w:val="0"/>
                <w:color w:val="111827"/>
                <w:sz w:val="15"/>
              </w:rPr>
              <w:t>Reject cell or map to explicit unknown/unusable class; never silently choose extreme fuel.</w:t>
            </w:r>
          </w:p>
        </w:tc>
      </w:tr>
      <w:tr>
        <w:tc>
          <w:tcPr>
            <w:tcW w:type="dxa" w:w="5112"/>
            <w:vAlign w:val="center"/>
            <w:shd w:fill="F3F4F6"/>
          </w:tcPr>
          <w:p>
            <w:pPr>
              <w:spacing w:after="0"/>
            </w:pPr>
            <w:r/>
            <w:r>
              <w:rPr>
                <w:rFonts w:ascii="Aptos" w:hAnsi="Aptos"/>
                <w:b w:val="0"/>
                <w:color w:val="111827"/>
                <w:sz w:val="15"/>
              </w:rPr>
              <w:t>Data extent mismatch</w:t>
            </w:r>
          </w:p>
        </w:tc>
        <w:tc>
          <w:tcPr>
            <w:tcW w:type="dxa" w:w="5112"/>
            <w:vAlign w:val="center"/>
            <w:shd w:fill="F3F4F6"/>
          </w:tcPr>
          <w:p>
            <w:pPr>
              <w:spacing w:after="0"/>
            </w:pPr>
            <w:r/>
            <w:r>
              <w:rPr>
                <w:rFonts w:ascii="Aptos" w:hAnsi="Aptos"/>
                <w:b w:val="0"/>
                <w:color w:val="111827"/>
                <w:sz w:val="15"/>
              </w:rPr>
              <w:t>Clip/mark unavailable rather than extrapolate silently.</w:t>
            </w:r>
          </w:p>
        </w:tc>
      </w:tr>
    </w:tbl>
    <w:p/>
    <w:p>
      <w:pPr>
        <w:pStyle w:val="Heading1"/>
      </w:pPr>
      <w:r>
        <w:t>17. Affected-Area Geometry Engine</w:t>
      </w:r>
    </w:p>
    <w:p>
      <w:pPr>
        <w:pStyle w:val="Heading2"/>
      </w:pPr>
      <w:r>
        <w:t>17.1 Raster-to-region</w:t>
      </w:r>
    </w:p>
    <w:p>
      <w:pPr>
        <w:pStyle w:val="CodeBlock"/>
        <w:shd w:fill="F8FAFC"/>
      </w:pPr>
      <w:r>
        <w:t>Arrival-time raster</w:t>
        <w:br/>
        <w:t xml:space="preserve">   ↓</w:t>
        <w:br/>
        <w:t>threshold selection</w:t>
        <w:br/>
        <w:t xml:space="preserve">   ↓</w:t>
        <w:br/>
        <w:t>boolean cell mask</w:t>
        <w:br/>
        <w:t xml:space="preserve">   ↓</w:t>
        <w:br/>
        <w:t>connected-component analysis</w:t>
        <w:br/>
        <w:t xml:space="preserve">   ↓</w:t>
        <w:br/>
        <w:t>raster/contour polygonization</w:t>
        <w:br/>
        <w:t xml:space="preserve">   ↓</w:t>
        <w:br/>
        <w:t>geometry validation</w:t>
        <w:br/>
        <w:t xml:space="preserve">   ↓</w:t>
        <w:br/>
        <w:t>optional display simplification</w:t>
        <w:br/>
        <w:t xml:space="preserve">   ↓</w:t>
        <w:br/>
        <w:t>GeoJSON / spatial DB representation</w:t>
        <w:br/>
      </w:r>
    </w:p>
    <w:p>
      <w:pPr>
        <w:pStyle w:val="Heading2"/>
      </w:pPr>
      <w:r>
        <w:t>17.2 Geometry validity</w:t>
      </w:r>
    </w:p>
    <w:p>
      <w:r>
        <w:t>Every derived polygon must be checked for validity. Self-intersections, ring defects and invalid topology must be repaired using a standard geometry-validity operation where safe; if repair cannot produce a trustworthy result, flag the output rather than silently displaying corrupted geometry.</w:t>
      </w:r>
    </w:p>
    <w:p>
      <w:pPr>
        <w:pStyle w:val="Heading2"/>
      </w:pPr>
      <w:r>
        <w:t>17.3 MultiPolygon</w:t>
      </w:r>
    </w:p>
    <w:p>
      <w:r>
        <w:t>The output type must support Polygon and MultiPolygon from the beginning. Disconnected burnable regions, barriers, masked domains and multiple future reachable components can produce multiple regions.</w:t>
      </w:r>
    </w:p>
    <w:p>
      <w:pPr>
        <w:pStyle w:val="Heading2"/>
      </w:pPr>
      <w:r>
        <w:t>17.4 Simplification</w:t>
      </w:r>
    </w:p>
    <w:p>
      <w:r>
        <w:t>Display-only simplification MAY be applied to reduce web payload and visual noise. The unsimplified raster/derived geometry remains the source for scientific/statistical calculations.</w:t>
      </w:r>
    </w:p>
    <w:p>
      <w:pPr>
        <w:pStyle w:val="Heading2"/>
      </w:pPr>
      <w:r>
        <w:t>17.5 Geometry versioning</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Field</w:t>
            </w:r>
          </w:p>
        </w:tc>
        <w:tc>
          <w:tcPr>
            <w:tcW w:type="dxa" w:w="5112"/>
            <w:vAlign w:val="center"/>
            <w:shd w:fill="0B5A75"/>
          </w:tcPr>
          <w:p>
            <w:pPr>
              <w:spacing w:after="0"/>
            </w:pPr>
            <w:r/>
            <w:r>
              <w:rPr>
                <w:rFonts w:ascii="Aptos" w:hAnsi="Aptos"/>
                <w:b/>
                <w:color w:val="FFFFFF"/>
                <w:sz w:val="15"/>
              </w:rPr>
              <w:t>Purpose</w:t>
            </w:r>
          </w:p>
        </w:tc>
      </w:tr>
      <w:tr>
        <w:tc>
          <w:tcPr>
            <w:tcW w:type="dxa" w:w="5112"/>
            <w:vAlign w:val="center"/>
          </w:tcPr>
          <w:p>
            <w:pPr>
              <w:spacing w:after="0"/>
            </w:pPr>
            <w:r/>
            <w:r>
              <w:rPr>
                <w:rFonts w:ascii="Aptos" w:hAnsi="Aptos"/>
                <w:b w:val="0"/>
                <w:color w:val="111827"/>
                <w:sz w:val="15"/>
              </w:rPr>
              <w:t>geometry_version</w:t>
            </w:r>
          </w:p>
        </w:tc>
        <w:tc>
          <w:tcPr>
            <w:tcW w:type="dxa" w:w="5112"/>
            <w:vAlign w:val="center"/>
          </w:tcPr>
          <w:p>
            <w:pPr>
              <w:spacing w:after="0"/>
            </w:pPr>
            <w:r/>
            <w:r>
              <w:rPr>
                <w:rFonts w:ascii="Aptos" w:hAnsi="Aptos"/>
                <w:b w:val="0"/>
                <w:color w:val="111827"/>
                <w:sz w:val="15"/>
              </w:rPr>
              <w:t>Identify regeneration after model/input changes.</w:t>
            </w:r>
          </w:p>
        </w:tc>
      </w:tr>
      <w:tr>
        <w:tc>
          <w:tcPr>
            <w:tcW w:type="dxa" w:w="5112"/>
            <w:vAlign w:val="center"/>
            <w:shd w:fill="F3F4F6"/>
          </w:tcPr>
          <w:p>
            <w:pPr>
              <w:spacing w:after="0"/>
            </w:pPr>
            <w:r/>
            <w:r>
              <w:rPr>
                <w:rFonts w:ascii="Aptos" w:hAnsi="Aptos"/>
                <w:b w:val="0"/>
                <w:color w:val="111827"/>
                <w:sz w:val="15"/>
              </w:rPr>
              <w:t>source_arrival_run_id</w:t>
            </w:r>
          </w:p>
        </w:tc>
        <w:tc>
          <w:tcPr>
            <w:tcW w:type="dxa" w:w="5112"/>
            <w:vAlign w:val="center"/>
            <w:shd w:fill="F3F4F6"/>
          </w:tcPr>
          <w:p>
            <w:pPr>
              <w:spacing w:after="0"/>
            </w:pPr>
            <w:r/>
            <w:r>
              <w:rPr>
                <w:rFonts w:ascii="Aptos" w:hAnsi="Aptos"/>
                <w:b w:val="0"/>
                <w:color w:val="111827"/>
                <w:sz w:val="15"/>
              </w:rPr>
              <w:t>Tie geometry to arrival-field computation.</w:t>
            </w:r>
          </w:p>
        </w:tc>
      </w:tr>
      <w:tr>
        <w:tc>
          <w:tcPr>
            <w:tcW w:type="dxa" w:w="5112"/>
            <w:vAlign w:val="center"/>
          </w:tcPr>
          <w:p>
            <w:pPr>
              <w:spacing w:after="0"/>
            </w:pPr>
            <w:r/>
            <w:r>
              <w:rPr>
                <w:rFonts w:ascii="Aptos" w:hAnsi="Aptos"/>
                <w:b w:val="0"/>
                <w:color w:val="111827"/>
                <w:sz w:val="15"/>
              </w:rPr>
              <w:t>generated_at</w:t>
            </w:r>
          </w:p>
        </w:tc>
        <w:tc>
          <w:tcPr>
            <w:tcW w:type="dxa" w:w="5112"/>
            <w:vAlign w:val="center"/>
          </w:tcPr>
          <w:p>
            <w:pPr>
              <w:spacing w:after="0"/>
            </w:pPr>
            <w:r/>
            <w:r>
              <w:rPr>
                <w:rFonts w:ascii="Aptos" w:hAnsi="Aptos"/>
                <w:b w:val="0"/>
                <w:color w:val="111827"/>
                <w:sz w:val="15"/>
              </w:rPr>
              <w:t>Trace when geometry was produced.</w:t>
            </w:r>
          </w:p>
        </w:tc>
      </w:tr>
      <w:tr>
        <w:tc>
          <w:tcPr>
            <w:tcW w:type="dxa" w:w="5112"/>
            <w:vAlign w:val="center"/>
            <w:shd w:fill="F3F4F6"/>
          </w:tcPr>
          <w:p>
            <w:pPr>
              <w:spacing w:after="0"/>
            </w:pPr>
            <w:r/>
            <w:r>
              <w:rPr>
                <w:rFonts w:ascii="Aptos" w:hAnsi="Aptos"/>
                <w:b w:val="0"/>
                <w:color w:val="111827"/>
                <w:sz w:val="15"/>
              </w:rPr>
              <w:t>model_assumptions_hash</w:t>
            </w:r>
          </w:p>
        </w:tc>
        <w:tc>
          <w:tcPr>
            <w:tcW w:type="dxa" w:w="5112"/>
            <w:vAlign w:val="center"/>
            <w:shd w:fill="F3F4F6"/>
          </w:tcPr>
          <w:p>
            <w:pPr>
              <w:spacing w:after="0"/>
            </w:pPr>
            <w:r/>
            <w:r>
              <w:rPr>
                <w:rFonts w:ascii="Aptos" w:hAnsi="Aptos"/>
                <w:b w:val="0"/>
                <w:color w:val="111827"/>
                <w:sz w:val="15"/>
              </w:rPr>
              <w:t>Identify relevant parameter/input configuration.</w:t>
            </w:r>
          </w:p>
        </w:tc>
      </w:tr>
    </w:tbl>
    <w:p/>
    <w:p>
      <w:pPr>
        <w:pStyle w:val="Heading1"/>
      </w:pPr>
      <w:r>
        <w:t>18. Physical Footprint vs Operational Buffer</w:t>
      </w:r>
    </w:p>
    <w:p>
      <w:pPr>
        <w:pStyle w:val="Heading2"/>
      </w:pPr>
      <w:r>
        <w:t>18.1 Physical footprint</w:t>
      </w:r>
    </w:p>
    <w:p>
      <w:r>
        <w:t>The physical footprint is derived from the arrival-time field. It answers: where does the modeled fire reach under the current model assumptions?</w:t>
      </w:r>
    </w:p>
    <w:p>
      <w:pPr>
        <w:pStyle w:val="Heading2"/>
      </w:pPr>
      <w:r>
        <w:t>18.2 Operational buffer</w:t>
      </w:r>
    </w:p>
    <w:p>
      <w:pPr>
        <w:jc w:val="center"/>
      </w:pPr>
      <w:r>
        <w:rPr>
          <w:rFonts w:ascii="Cambria Math" w:hAnsi="Cambria Math"/>
          <w:b/>
          <w:sz w:val="21"/>
        </w:rPr>
        <w:t>B_operational = buffer(A_physical, m_policy)</w:t>
      </w:r>
    </w:p>
    <w:p>
      <w:r>
        <w:t>m_policy is a policy-defined safety margin. The buffer may be larger than the modeled footprint to account for operational caution, uncertainty or response policy.</w:t>
      </w:r>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Non-negotiable distinction</w:t>
              <w:br/>
            </w:r>
            <w:r>
              <w:rPr>
                <w:sz w:val="17"/>
              </w:rPr>
              <w:t>The operational buffer is not a more accurate fire physics model. It is a policy margin. The dashboard must use separate labels, styles and layer semantics for footprint versus buffer.</w:t>
            </w:r>
          </w:p>
        </w:tc>
      </w:tr>
    </w:tbl>
    <w:p/>
    <w:p>
      <w:pPr>
        <w:pStyle w:val="Heading2"/>
      </w:pPr>
      <w:r>
        <w:t>18.3 Reprojection/buffer rule</w:t>
      </w:r>
    </w:p>
    <w:p>
      <w:r>
        <w:t>Buffer distances must be calculated in the appropriate metric projected CRS. Never apply a metre buffer directly to WGS84 degrees.</w:t>
      </w:r>
    </w:p>
    <w:p>
      <w:pPr>
        <w:pStyle w:val="Heading1"/>
      </w:pPr>
      <w:r>
        <w:t>19. Hazard Risk Surface / Heatmap</w:t>
      </w:r>
    </w:p>
    <w:p>
      <w:pPr>
        <w:pStyle w:val="Heading2"/>
      </w:pPr>
      <w:r>
        <w:t>19.1 Purpose</w:t>
      </w:r>
    </w:p>
    <w:p>
      <w:r>
        <w:t>The hazard risk surface expresses spatial urgency and operational concern. It is not the physical footprint and it is not probability.</w:t>
      </w:r>
    </w:p>
    <w:p>
      <w:pPr>
        <w:pStyle w:val="Heading2"/>
      </w:pPr>
      <w:r>
        <w:t>19.2 Spatial components</w:t>
      </w:r>
    </w:p>
    <w:p>
      <w:pPr>
        <w:jc w:val="center"/>
      </w:pPr>
      <w:r>
        <w:rPr>
          <w:rFonts w:ascii="Cambria Math" w:hAnsi="Cambria Math"/>
          <w:b/>
          <w:sz w:val="21"/>
        </w:rPr>
        <w:t>U_c = exp(−λ_τ τ_c)</w:t>
      </w:r>
    </w:p>
    <w:p>
      <w:r>
        <w:t>For cells already reached, set U_c=1. For unreachable/invalid future cells, handle according to domain policy rather than inventing a large finite arrival time.</w:t>
      </w:r>
    </w:p>
    <w:p>
      <w:pPr>
        <w:jc w:val="center"/>
      </w:pPr>
      <w:r>
        <w:rPr>
          <w:rFonts w:ascii="Cambria Math" w:hAnsi="Cambria Math"/>
          <w:b/>
          <w:sz w:val="21"/>
        </w:rPr>
        <w:t>R_haz,c = w_U U_c + w_I I_c + w_E E_c</w:t>
      </w:r>
    </w:p>
    <w:p>
      <w:pPr>
        <w:jc w:val="center"/>
      </w:pPr>
      <w:r>
        <w:rPr>
          <w:rFonts w:ascii="Cambria Math" w:hAnsi="Cambria Math"/>
          <w:b/>
          <w:sz w:val="21"/>
        </w:rPr>
        <w:t>w_U + w_I + w_E = 1</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Component</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U_c</w:t>
            </w:r>
          </w:p>
        </w:tc>
        <w:tc>
          <w:tcPr>
            <w:tcW w:type="dxa" w:w="5112"/>
            <w:vAlign w:val="center"/>
          </w:tcPr>
          <w:p>
            <w:pPr>
              <w:spacing w:after="0"/>
            </w:pPr>
            <w:r/>
            <w:r>
              <w:rPr>
                <w:rFonts w:ascii="Aptos" w:hAnsi="Aptos"/>
                <w:b w:val="0"/>
                <w:color w:val="111827"/>
                <w:sz w:val="15"/>
              </w:rPr>
              <w:t>Time-to-arrival urgency; closer imminent arrival produces larger value.</w:t>
            </w:r>
          </w:p>
        </w:tc>
      </w:tr>
      <w:tr>
        <w:tc>
          <w:tcPr>
            <w:tcW w:type="dxa" w:w="5112"/>
            <w:vAlign w:val="center"/>
            <w:shd w:fill="F3F4F6"/>
          </w:tcPr>
          <w:p>
            <w:pPr>
              <w:spacing w:after="0"/>
            </w:pPr>
            <w:r/>
            <w:r>
              <w:rPr>
                <w:rFonts w:ascii="Aptos" w:hAnsi="Aptos"/>
                <w:b w:val="0"/>
                <w:color w:val="111827"/>
                <w:sz w:val="15"/>
              </w:rPr>
              <w:t>I_c</w:t>
            </w:r>
          </w:p>
        </w:tc>
        <w:tc>
          <w:tcPr>
            <w:tcW w:type="dxa" w:w="5112"/>
            <w:vAlign w:val="center"/>
            <w:shd w:fill="F3F4F6"/>
          </w:tcPr>
          <w:p>
            <w:pPr>
              <w:spacing w:after="0"/>
            </w:pPr>
            <w:r/>
            <w:r>
              <w:rPr>
                <w:rFonts w:ascii="Aptos" w:hAnsi="Aptos"/>
                <w:b w:val="0"/>
                <w:color w:val="111827"/>
                <w:sz w:val="15"/>
              </w:rPr>
              <w:t>Local hazard intensity/spread-strength proxy, normalized within configured bounds.</w:t>
            </w:r>
          </w:p>
        </w:tc>
      </w:tr>
      <w:tr>
        <w:tc>
          <w:tcPr>
            <w:tcW w:type="dxa" w:w="5112"/>
            <w:vAlign w:val="center"/>
          </w:tcPr>
          <w:p>
            <w:pPr>
              <w:spacing w:after="0"/>
            </w:pPr>
            <w:r/>
            <w:r>
              <w:rPr>
                <w:rFonts w:ascii="Aptos" w:hAnsi="Aptos"/>
                <w:b w:val="0"/>
                <w:color w:val="111827"/>
                <w:sz w:val="15"/>
              </w:rPr>
              <w:t>E_c</w:t>
            </w:r>
          </w:p>
        </w:tc>
        <w:tc>
          <w:tcPr>
            <w:tcW w:type="dxa" w:w="5112"/>
            <w:vAlign w:val="center"/>
          </w:tcPr>
          <w:p>
            <w:pPr>
              <w:spacing w:after="0"/>
            </w:pPr>
            <w:r/>
            <w:r>
              <w:rPr>
                <w:rFonts w:ascii="Aptos" w:hAnsi="Aptos"/>
                <w:b w:val="0"/>
                <w:color w:val="111827"/>
                <w:sz w:val="15"/>
              </w:rPr>
              <w:t>Local escalation/trend contribution where a valid temporal field exists.</w:t>
            </w:r>
          </w:p>
        </w:tc>
      </w:tr>
    </w:tbl>
    <w:p/>
    <w:p>
      <w:pPr>
        <w:pStyle w:val="Heading2"/>
      </w:pPr>
      <w:r>
        <w:t>19.3 Intensity input</w:t>
      </w:r>
    </w:p>
    <w:p>
      <w:r>
        <w:t>For V1 fire, I_c may be derived from local normalized directional ROS or another approved local intensity proxy. It must be normalized before combination.</w:t>
      </w:r>
    </w:p>
    <w:p>
      <w:pPr>
        <w:pStyle w:val="Heading2"/>
      </w:pPr>
      <w:r>
        <w:t>19.4 Operational index label</w:t>
      </w:r>
    </w:p>
    <w:tbl>
      <w:tblPr>
        <w:tblStyle w:val="TableGrid"/>
        <w:tblW w:type="auto" w:w="0"/>
        <w:tblLook w:firstColumn="1" w:firstRow="1" w:lastColumn="0" w:lastRow="0" w:noHBand="0" w:noVBand="1" w:val="04A0"/>
      </w:tblPr>
      <w:tblGrid>
        <w:gridCol w:w="10224"/>
      </w:tblGrid>
      <w:tr>
        <w:trPr>
          <w:cantSplit/>
        </w:trPr>
        <w:tc>
          <w:tcPr>
            <w:tcW w:type="dxa" w:w="10224"/>
            <w:shd w:fill="EAF7EE"/>
          </w:tcPr>
          <w:p>
            <w:r/>
            <w:r>
              <w:rPr>
                <w:b/>
                <w:color w:val="166534"/>
                <w:sz w:val="18"/>
              </w:rPr>
              <w:t>Display semantics</w:t>
              <w:br/>
            </w:r>
            <w:r>
              <w:rPr>
                <w:sz w:val="17"/>
              </w:rPr>
              <w:t>Call this 'Hazard Risk Surface', 'Spread Urgency Index' or equivalent. Do not label it 'probability of fire' unless a separate statistical calibration process has established that interpretation.</w:t>
            </w:r>
          </w:p>
        </w:tc>
      </w:tr>
    </w:tbl>
    <w:p/>
    <w:p>
      <w:pPr>
        <w:pStyle w:val="Heading2"/>
      </w:pPr>
      <w:r>
        <w:t>19.5 Exposure separation</w:t>
      </w:r>
    </w:p>
    <w:p>
      <w:r>
        <w:t>Population density, school count, hospital presence and infrastructure consequence are not direct ingredients of the physical hazard risk surface. They belong to exposure/impact. This prevents double counting the same consequence information in both spatial hazard intensity and exposure.</w:t>
      </w:r>
    </w:p>
    <w:p>
      <w:pPr>
        <w:pStyle w:val="Heading1"/>
      </w:pPr>
      <w:r>
        <w:t>20. Risk Classification &amp; Map Layers</w:t>
      </w:r>
    </w:p>
    <w:p>
      <w:pPr>
        <w:pStyle w:val="Heading2"/>
      </w:pPr>
      <w:r>
        <w:t>20.1 Continuous vs discrete</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Output</w:t>
            </w:r>
          </w:p>
        </w:tc>
        <w:tc>
          <w:tcPr>
            <w:tcW w:type="dxa" w:w="5112"/>
            <w:vAlign w:val="center"/>
            <w:shd w:fill="0B5A75"/>
          </w:tcPr>
          <w:p>
            <w:pPr>
              <w:spacing w:after="0"/>
            </w:pPr>
            <w:r/>
            <w:r>
              <w:rPr>
                <w:rFonts w:ascii="Aptos" w:hAnsi="Aptos"/>
                <w:b/>
                <w:color w:val="FFFFFF"/>
                <w:sz w:val="15"/>
              </w:rPr>
              <w:t>Representation</w:t>
            </w:r>
          </w:p>
        </w:tc>
      </w:tr>
      <w:tr>
        <w:tc>
          <w:tcPr>
            <w:tcW w:type="dxa" w:w="5112"/>
            <w:vAlign w:val="center"/>
          </w:tcPr>
          <w:p>
            <w:pPr>
              <w:spacing w:after="0"/>
            </w:pPr>
            <w:r/>
            <w:r>
              <w:rPr>
                <w:rFonts w:ascii="Aptos" w:hAnsi="Aptos"/>
                <w:b w:val="0"/>
                <w:color w:val="111827"/>
                <w:sz w:val="15"/>
              </w:rPr>
              <w:t>Physical footprint</w:t>
            </w:r>
          </w:p>
        </w:tc>
        <w:tc>
          <w:tcPr>
            <w:tcW w:type="dxa" w:w="5112"/>
            <w:vAlign w:val="center"/>
          </w:tcPr>
          <w:p>
            <w:pPr>
              <w:spacing w:after="0"/>
            </w:pPr>
            <w:r/>
            <w:r>
              <w:rPr>
                <w:rFonts w:ascii="Aptos" w:hAnsi="Aptos"/>
                <w:b w:val="0"/>
                <w:color w:val="111827"/>
                <w:sz w:val="15"/>
              </w:rPr>
              <w:t>Discrete polygon(s) derived from arrival-time threshold.</w:t>
            </w:r>
          </w:p>
        </w:tc>
      </w:tr>
      <w:tr>
        <w:tc>
          <w:tcPr>
            <w:tcW w:type="dxa" w:w="5112"/>
            <w:vAlign w:val="center"/>
            <w:shd w:fill="F3F4F6"/>
          </w:tcPr>
          <w:p>
            <w:pPr>
              <w:spacing w:after="0"/>
            </w:pPr>
            <w:r/>
            <w:r>
              <w:rPr>
                <w:rFonts w:ascii="Aptos" w:hAnsi="Aptos"/>
                <w:b w:val="0"/>
                <w:color w:val="111827"/>
                <w:sz w:val="15"/>
              </w:rPr>
              <w:t>Operational buffer</w:t>
            </w:r>
          </w:p>
        </w:tc>
        <w:tc>
          <w:tcPr>
            <w:tcW w:type="dxa" w:w="5112"/>
            <w:vAlign w:val="center"/>
            <w:shd w:fill="F3F4F6"/>
          </w:tcPr>
          <w:p>
            <w:pPr>
              <w:spacing w:after="0"/>
            </w:pPr>
            <w:r/>
            <w:r>
              <w:rPr>
                <w:rFonts w:ascii="Aptos" w:hAnsi="Aptos"/>
                <w:b w:val="0"/>
                <w:color w:val="111827"/>
                <w:sz w:val="15"/>
              </w:rPr>
              <w:t>Distinct polygon(s) derived from physical footprint + policy margin.</w:t>
            </w:r>
          </w:p>
        </w:tc>
      </w:tr>
      <w:tr>
        <w:tc>
          <w:tcPr>
            <w:tcW w:type="dxa" w:w="5112"/>
            <w:vAlign w:val="center"/>
          </w:tcPr>
          <w:p>
            <w:pPr>
              <w:spacing w:after="0"/>
            </w:pPr>
            <w:r/>
            <w:r>
              <w:rPr>
                <w:rFonts w:ascii="Aptos" w:hAnsi="Aptos"/>
                <w:b w:val="0"/>
                <w:color w:val="111827"/>
                <w:sz w:val="15"/>
              </w:rPr>
              <w:t>Warning/projection</w:t>
            </w:r>
          </w:p>
        </w:tc>
        <w:tc>
          <w:tcPr>
            <w:tcW w:type="dxa" w:w="5112"/>
            <w:vAlign w:val="center"/>
          </w:tcPr>
          <w:p>
            <w:pPr>
              <w:spacing w:after="0"/>
            </w:pPr>
            <w:r/>
            <w:r>
              <w:rPr>
                <w:rFonts w:ascii="Aptos" w:hAnsi="Aptos"/>
                <w:b w:val="0"/>
                <w:color w:val="111827"/>
                <w:sz w:val="15"/>
              </w:rPr>
              <w:t>Discrete polygon(s) derived from arrival-time thresholds.</w:t>
            </w:r>
          </w:p>
        </w:tc>
      </w:tr>
      <w:tr>
        <w:tc>
          <w:tcPr>
            <w:tcW w:type="dxa" w:w="5112"/>
            <w:vAlign w:val="center"/>
            <w:shd w:fill="F3F4F6"/>
          </w:tcPr>
          <w:p>
            <w:pPr>
              <w:spacing w:after="0"/>
            </w:pPr>
            <w:r/>
            <w:r>
              <w:rPr>
                <w:rFonts w:ascii="Aptos" w:hAnsi="Aptos"/>
                <w:b w:val="0"/>
                <w:color w:val="111827"/>
                <w:sz w:val="15"/>
              </w:rPr>
              <w:t>Hazard risk</w:t>
            </w:r>
          </w:p>
        </w:tc>
        <w:tc>
          <w:tcPr>
            <w:tcW w:type="dxa" w:w="5112"/>
            <w:vAlign w:val="center"/>
            <w:shd w:fill="F3F4F6"/>
          </w:tcPr>
          <w:p>
            <w:pPr>
              <w:spacing w:after="0"/>
            </w:pPr>
            <w:r/>
            <w:r>
              <w:rPr>
                <w:rFonts w:ascii="Aptos" w:hAnsi="Aptos"/>
                <w:b w:val="0"/>
                <w:color w:val="111827"/>
                <w:sz w:val="15"/>
              </w:rPr>
              <w:t>Continuous raster/heatmap.</w:t>
            </w:r>
          </w:p>
        </w:tc>
      </w:tr>
      <w:tr>
        <w:tc>
          <w:tcPr>
            <w:tcW w:type="dxa" w:w="5112"/>
            <w:vAlign w:val="center"/>
          </w:tcPr>
          <w:p>
            <w:pPr>
              <w:spacing w:after="0"/>
            </w:pPr>
            <w:r/>
            <w:r>
              <w:rPr>
                <w:rFonts w:ascii="Aptos" w:hAnsi="Aptos"/>
                <w:b w:val="0"/>
                <w:color w:val="111827"/>
                <w:sz w:val="15"/>
              </w:rPr>
              <w:t>Exposure</w:t>
            </w:r>
          </w:p>
        </w:tc>
        <w:tc>
          <w:tcPr>
            <w:tcW w:type="dxa" w:w="5112"/>
            <w:vAlign w:val="center"/>
          </w:tcPr>
          <w:p>
            <w:pPr>
              <w:spacing w:after="0"/>
            </w:pPr>
            <w:r/>
            <w:r>
              <w:rPr>
                <w:rFonts w:ascii="Aptos" w:hAnsi="Aptos"/>
                <w:b w:val="0"/>
                <w:color w:val="111827"/>
                <w:sz w:val="15"/>
              </w:rPr>
              <w:t>Separate spatial/statistical layers.</w:t>
            </w:r>
          </w:p>
        </w:tc>
      </w:tr>
    </w:tbl>
    <w:p/>
    <w:p>
      <w:pPr>
        <w:pStyle w:val="Heading2"/>
      </w:pPr>
      <w:r>
        <w:t>20.2 Risk bands</w:t>
      </w:r>
    </w:p>
    <w:p>
      <w:r>
        <w:t>Risk classification thresholds are configurable parameters. Example labels may be LOW, MODERATE, ELEVATED, HIGH and CRITICAL. The numeric cutoffs must be held in the parameter registry and validated for monotonic behavior.</w:t>
      </w:r>
    </w:p>
    <w:p>
      <w:pPr>
        <w:pStyle w:val="Heading2"/>
      </w:pPr>
      <w:r>
        <w:t>20.3 Multi-hazard rule</w:t>
      </w:r>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Permanent rule</w:t>
              <w:br/>
            </w:r>
            <w:r>
              <w:rPr>
                <w:sz w:val="17"/>
              </w:rPr>
              <w:t>Fire risk, flood risk, pollution risk and other hazard risk surfaces remain separate and independently toggleable. Do not algebraically add or average unrelated hazard surfaces into a single universal disaster-risk number. fileciteturn19file16</w:t>
            </w:r>
          </w:p>
        </w:tc>
      </w:tr>
    </w:tbl>
    <w:p/>
    <w:p>
      <w:pPr>
        <w:pStyle w:val="Heading1"/>
      </w:pPr>
      <w:r>
        <w:t>21. Area, Growth &amp; Spatial Statistics</w:t>
      </w:r>
    </w:p>
    <w:p>
      <w:pPr>
        <w:pStyle w:val="Heading2"/>
      </w:pPr>
      <w:r>
        <w:t>21.1 Area</w:t>
      </w:r>
    </w:p>
    <w:p>
      <w:r>
        <w:t>Area is calculated from the valid projected geometry or an appropriate geodesic/equal-area method.</w:t>
      </w:r>
    </w:p>
    <w:p>
      <w:pPr>
        <w:jc w:val="center"/>
      </w:pPr>
      <w:r>
        <w:rPr>
          <w:rFonts w:ascii="Cambria Math" w:hAnsi="Cambria Math"/>
          <w:b/>
          <w:sz w:val="21"/>
        </w:rPr>
        <w:t>A(t) = area(PhysicalFootprint(t))</w:t>
      </w:r>
    </w:p>
    <w:p>
      <w:pPr>
        <w:pStyle w:val="Heading2"/>
      </w:pPr>
      <w:r>
        <w:t>21.2 Area growth</w:t>
      </w:r>
    </w:p>
    <w:p>
      <w:pPr>
        <w:jc w:val="center"/>
      </w:pPr>
      <w:r>
        <w:rPr>
          <w:rFonts w:ascii="Cambria Math" w:hAnsi="Cambria Math"/>
          <w:b/>
          <w:sz w:val="21"/>
        </w:rPr>
        <w:t>G_A(t) = [A(t) − A(t−Δt)] / Δt</w:t>
      </w:r>
    </w:p>
    <w:p>
      <w:r>
        <w:t>The UI may display growth as m²/min, ha/min or another clearly labeled unit.</w:t>
      </w:r>
    </w:p>
    <w:p>
      <w:pPr>
        <w:pStyle w:val="Heading2"/>
      </w:pPr>
      <w:r>
        <w:t>21.3 Mean spread rate</w:t>
      </w:r>
    </w:p>
    <w:p>
      <w:r>
        <w:t>Where a scalar summary is required, define it explicitly as an aggregate diagnostic (for example perimeter-normal or area-equivalent growth rate) rather than confusing it with directional ROS. Directional ROS and footprint growth are different quantities.</w:t>
      </w:r>
    </w:p>
    <w:p>
      <w:pPr>
        <w:pStyle w:val="Heading2"/>
      </w:pPr>
      <w:r>
        <w:t>21.4 Do not conflate</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Quantity</w:t>
            </w:r>
          </w:p>
        </w:tc>
        <w:tc>
          <w:tcPr>
            <w:tcW w:type="dxa" w:w="5112"/>
            <w:vAlign w:val="center"/>
            <w:shd w:fill="0B5A75"/>
          </w:tcPr>
          <w:p>
            <w:pPr>
              <w:spacing w:after="0"/>
            </w:pPr>
            <w:r/>
            <w:r>
              <w:rPr>
                <w:rFonts w:ascii="Aptos" w:hAnsi="Aptos"/>
                <w:b/>
                <w:color w:val="FFFFFF"/>
                <w:sz w:val="15"/>
              </w:rPr>
              <w:t>Meaning</w:t>
            </w:r>
          </w:p>
        </w:tc>
      </w:tr>
      <w:tr>
        <w:tc>
          <w:tcPr>
            <w:tcW w:type="dxa" w:w="5112"/>
            <w:vAlign w:val="center"/>
          </w:tcPr>
          <w:p>
            <w:pPr>
              <w:spacing w:after="0"/>
            </w:pPr>
            <w:r/>
            <w:r>
              <w:rPr>
                <w:rFonts w:ascii="Aptos" w:hAnsi="Aptos"/>
                <w:b w:val="0"/>
                <w:color w:val="111827"/>
                <w:sz w:val="15"/>
              </w:rPr>
              <w:t>ROS</w:t>
            </w:r>
          </w:p>
        </w:tc>
        <w:tc>
          <w:tcPr>
            <w:tcW w:type="dxa" w:w="5112"/>
            <w:vAlign w:val="center"/>
          </w:tcPr>
          <w:p>
            <w:pPr>
              <w:spacing w:after="0"/>
            </w:pPr>
            <w:r/>
            <w:r>
              <w:rPr>
                <w:rFonts w:ascii="Aptos" w:hAnsi="Aptos"/>
                <w:b w:val="0"/>
                <w:color w:val="111827"/>
                <w:sz w:val="15"/>
              </w:rPr>
              <w:t>Local directional propagation rate.</w:t>
            </w:r>
          </w:p>
        </w:tc>
      </w:tr>
      <w:tr>
        <w:tc>
          <w:tcPr>
            <w:tcW w:type="dxa" w:w="5112"/>
            <w:vAlign w:val="center"/>
            <w:shd w:fill="F3F4F6"/>
          </w:tcPr>
          <w:p>
            <w:pPr>
              <w:spacing w:after="0"/>
            </w:pPr>
            <w:r/>
            <w:r>
              <w:rPr>
                <w:rFonts w:ascii="Aptos" w:hAnsi="Aptos"/>
                <w:b w:val="0"/>
                <w:color w:val="111827"/>
                <w:sz w:val="15"/>
              </w:rPr>
              <w:t>Arrival time</w:t>
            </w:r>
          </w:p>
        </w:tc>
        <w:tc>
          <w:tcPr>
            <w:tcW w:type="dxa" w:w="5112"/>
            <w:vAlign w:val="center"/>
            <w:shd w:fill="F3F4F6"/>
          </w:tcPr>
          <w:p>
            <w:pPr>
              <w:spacing w:after="0"/>
            </w:pPr>
            <w:r/>
            <w:r>
              <w:rPr>
                <w:rFonts w:ascii="Aptos" w:hAnsi="Aptos"/>
                <w:b w:val="0"/>
                <w:color w:val="111827"/>
                <w:sz w:val="15"/>
              </w:rPr>
              <w:t>Time required to reach a cell.</w:t>
            </w:r>
          </w:p>
        </w:tc>
      </w:tr>
      <w:tr>
        <w:tc>
          <w:tcPr>
            <w:tcW w:type="dxa" w:w="5112"/>
            <w:vAlign w:val="center"/>
          </w:tcPr>
          <w:p>
            <w:pPr>
              <w:spacing w:after="0"/>
            </w:pPr>
            <w:r/>
            <w:r>
              <w:rPr>
                <w:rFonts w:ascii="Aptos" w:hAnsi="Aptos"/>
                <w:b w:val="0"/>
                <w:color w:val="111827"/>
                <w:sz w:val="15"/>
              </w:rPr>
              <w:t>Area</w:t>
            </w:r>
          </w:p>
        </w:tc>
        <w:tc>
          <w:tcPr>
            <w:tcW w:type="dxa" w:w="5112"/>
            <w:vAlign w:val="center"/>
          </w:tcPr>
          <w:p>
            <w:pPr>
              <w:spacing w:after="0"/>
            </w:pPr>
            <w:r/>
            <w:r>
              <w:rPr>
                <w:rFonts w:ascii="Aptos" w:hAnsi="Aptos"/>
                <w:b w:val="0"/>
                <w:color w:val="111827"/>
                <w:sz w:val="15"/>
              </w:rPr>
              <w:t>Area already reached by a chosen threshold.</w:t>
            </w:r>
          </w:p>
        </w:tc>
      </w:tr>
      <w:tr>
        <w:tc>
          <w:tcPr>
            <w:tcW w:type="dxa" w:w="5112"/>
            <w:vAlign w:val="center"/>
            <w:shd w:fill="F3F4F6"/>
          </w:tcPr>
          <w:p>
            <w:pPr>
              <w:spacing w:after="0"/>
            </w:pPr>
            <w:r/>
            <w:r>
              <w:rPr>
                <w:rFonts w:ascii="Aptos" w:hAnsi="Aptos"/>
                <w:b w:val="0"/>
                <w:color w:val="111827"/>
                <w:sz w:val="15"/>
              </w:rPr>
              <w:t>Area growth</w:t>
            </w:r>
          </w:p>
        </w:tc>
        <w:tc>
          <w:tcPr>
            <w:tcW w:type="dxa" w:w="5112"/>
            <w:vAlign w:val="center"/>
            <w:shd w:fill="F3F4F6"/>
          </w:tcPr>
          <w:p>
            <w:pPr>
              <w:spacing w:after="0"/>
            </w:pPr>
            <w:r/>
            <w:r>
              <w:rPr>
                <w:rFonts w:ascii="Aptos" w:hAnsi="Aptos"/>
                <w:b w:val="0"/>
                <w:color w:val="111827"/>
                <w:sz w:val="15"/>
              </w:rPr>
              <w:t>Rate of area change over time.</w:t>
            </w:r>
          </w:p>
        </w:tc>
      </w:tr>
      <w:tr>
        <w:tc>
          <w:tcPr>
            <w:tcW w:type="dxa" w:w="5112"/>
            <w:vAlign w:val="center"/>
          </w:tcPr>
          <w:p>
            <w:pPr>
              <w:spacing w:after="0"/>
            </w:pPr>
            <w:r/>
            <w:r>
              <w:rPr>
                <w:rFonts w:ascii="Aptos" w:hAnsi="Aptos"/>
                <w:b w:val="0"/>
                <w:color w:val="111827"/>
                <w:sz w:val="15"/>
              </w:rPr>
              <w:t>Risk surface</w:t>
            </w:r>
          </w:p>
        </w:tc>
        <w:tc>
          <w:tcPr>
            <w:tcW w:type="dxa" w:w="5112"/>
            <w:vAlign w:val="center"/>
          </w:tcPr>
          <w:p>
            <w:pPr>
              <w:spacing w:after="0"/>
            </w:pPr>
            <w:r/>
            <w:r>
              <w:rPr>
                <w:rFonts w:ascii="Aptos" w:hAnsi="Aptos"/>
                <w:b w:val="0"/>
                <w:color w:val="111827"/>
                <w:sz w:val="15"/>
              </w:rPr>
              <w:t>Operational spatial index.</w:t>
            </w:r>
          </w:p>
        </w:tc>
      </w:tr>
    </w:tbl>
    <w:p/>
    <w:p>
      <w:pPr>
        <w:pStyle w:val="Heading1"/>
      </w:pPr>
      <w:r>
        <w:t>22. Downstream Exposure Interface</w:t>
      </w:r>
    </w:p>
    <w:p>
      <w:pPr>
        <w:pStyle w:val="Heading2"/>
      </w:pPr>
      <w:r>
        <w:t>22.1 What this engine provides</w:t>
      </w:r>
    </w:p>
    <w:p>
      <w:pPr>
        <w:pStyle w:val="CodeBlock"/>
        <w:shd w:fill="F8FAFC"/>
      </w:pPr>
      <w:r>
        <w:t>GeospatialOutput</w:t>
        <w:br/>
        <w:t xml:space="preserve">  incident_id</w:t>
        <w:br/>
        <w:t xml:space="preserve">  run_id</w:t>
        <w:br/>
        <w:t xml:space="preserve">  crs</w:t>
        <w:br/>
        <w:t xml:space="preserve">  current_geometry</w:t>
        <w:br/>
        <w:t xml:space="preserve">  warning_geometry</w:t>
        <w:br/>
        <w:t xml:space="preserve">  projection_geometry</w:t>
        <w:br/>
        <w:t xml:space="preserve">  operational_buffer_geometry</w:t>
        <w:br/>
        <w:t xml:space="preserve">  arrival_time_source</w:t>
        <w:br/>
        <w:t xml:space="preserve">  risk_surface_source</w:t>
        <w:br/>
        <w:t xml:space="preserve">  generated_at</w:t>
        <w:br/>
        <w:t xml:space="preserve">  assumptions</w:t>
        <w:br/>
        <w:t xml:space="preserve">  domain_extent</w:t>
        <w:br/>
        <w:t xml:space="preserve">  projection_horizon</w:t>
        <w:br/>
      </w:r>
    </w:p>
    <w:p>
      <w:pPr>
        <w:pStyle w:val="Heading2"/>
      </w:pPr>
      <w:r>
        <w:t>22.2 Exposure engine responsibilities</w:t>
      </w:r>
    </w:p>
    <w:p>
      <w:r>
        <w:t>Population and infrastructure calculations are handled by the Exposure module. This document only defines the geometry and spatial artifacts that it consumes.</w:t>
      </w:r>
    </w:p>
    <w:p>
      <w:pPr>
        <w:pStyle w:val="Heading2"/>
      </w:pPr>
      <w:r>
        <w:t>22.3 Population semantics</w:t>
      </w:r>
    </w:p>
    <w:p>
      <w:r>
        <w:t>Downstream exposure must choose either cumulative zone semantics or disjoint ring semantics and document the choice. It must never naively add nested current/warning/projection populations. fileciteturn19file13</w:t>
      </w:r>
    </w:p>
    <w:p>
      <w:pPr>
        <w:pStyle w:val="Heading1"/>
      </w:pPr>
      <w:r>
        <w:t>23. LIVE vs SIMULATION</w:t>
      </w:r>
    </w:p>
    <w:p>
      <w:pPr>
        <w:pStyle w:val="Heading2"/>
      </w:pPr>
      <w:r>
        <w:t>23.1 Same engine</w:t>
      </w:r>
    </w:p>
    <w:p>
      <w:r>
        <w:t>The Fire Spread Engine is identical in LIVE and SIMULATION modes. Only the source and control of environmental input values may differ.</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Mode</w:t>
            </w:r>
          </w:p>
        </w:tc>
        <w:tc>
          <w:tcPr>
            <w:tcW w:type="dxa" w:w="5112"/>
            <w:vAlign w:val="center"/>
            <w:shd w:fill="0B5A75"/>
          </w:tcPr>
          <w:p>
            <w:pPr>
              <w:spacing w:after="0"/>
            </w:pPr>
            <w:r/>
            <w:r>
              <w:rPr>
                <w:rFonts w:ascii="Aptos" w:hAnsi="Aptos"/>
                <w:b/>
                <w:color w:val="FFFFFF"/>
                <w:sz w:val="15"/>
              </w:rPr>
              <w:t>Input source</w:t>
            </w:r>
          </w:p>
        </w:tc>
      </w:tr>
      <w:tr>
        <w:tc>
          <w:tcPr>
            <w:tcW w:type="dxa" w:w="5112"/>
            <w:vAlign w:val="center"/>
          </w:tcPr>
          <w:p>
            <w:pPr>
              <w:spacing w:after="0"/>
            </w:pPr>
            <w:r/>
            <w:r>
              <w:rPr>
                <w:rFonts w:ascii="Aptos" w:hAnsi="Aptos"/>
                <w:b w:val="0"/>
                <w:color w:val="111827"/>
                <w:sz w:val="15"/>
              </w:rPr>
              <w:t>LIVE</w:t>
            </w:r>
          </w:p>
        </w:tc>
        <w:tc>
          <w:tcPr>
            <w:tcW w:type="dxa" w:w="5112"/>
            <w:vAlign w:val="center"/>
          </w:tcPr>
          <w:p>
            <w:pPr>
              <w:spacing w:after="0"/>
            </w:pPr>
            <w:r/>
            <w:r>
              <w:rPr>
                <w:rFonts w:ascii="Aptos" w:hAnsi="Aptos"/>
                <w:b w:val="0"/>
                <w:color w:val="111827"/>
                <w:sz w:val="15"/>
              </w:rPr>
              <w:t>Validated incident + current environmental/geospatial context.</w:t>
            </w:r>
          </w:p>
        </w:tc>
      </w:tr>
      <w:tr>
        <w:tc>
          <w:tcPr>
            <w:tcW w:type="dxa" w:w="5112"/>
            <w:vAlign w:val="center"/>
            <w:shd w:fill="F3F4F6"/>
          </w:tcPr>
          <w:p>
            <w:pPr>
              <w:spacing w:after="0"/>
            </w:pPr>
            <w:r/>
            <w:r>
              <w:rPr>
                <w:rFonts w:ascii="Aptos" w:hAnsi="Aptos"/>
                <w:b w:val="0"/>
                <w:color w:val="111827"/>
                <w:sz w:val="15"/>
              </w:rPr>
              <w:t>SIMULATION</w:t>
            </w:r>
          </w:p>
        </w:tc>
        <w:tc>
          <w:tcPr>
            <w:tcW w:type="dxa" w:w="5112"/>
            <w:vAlign w:val="center"/>
            <w:shd w:fill="F3F4F6"/>
          </w:tcPr>
          <w:p>
            <w:pPr>
              <w:spacing w:after="0"/>
            </w:pPr>
            <w:r/>
            <w:r>
              <w:rPr>
                <w:rFonts w:ascii="Aptos" w:hAnsi="Aptos"/>
                <w:b w:val="0"/>
                <w:color w:val="111827"/>
                <w:sz w:val="15"/>
              </w:rPr>
              <w:t>Scenario-controlled telemetry/environmental inputs marked SIMULATION.</w:t>
            </w:r>
          </w:p>
        </w:tc>
      </w:tr>
    </w:tbl>
    <w:p/>
    <w:p>
      <w:pPr>
        <w:pStyle w:val="Heading2"/>
      </w:pPr>
      <w:r>
        <w:t>23.2 Simulation rule</w:t>
      </w:r>
    </w:p>
    <w:p>
      <w:r>
        <w:t>Synthetic telemetry reaches the same ingestion and intelligence path before a fire incident is created. The fire engine receives the resulting structured hazard context just like a live incident.</w:t>
      </w:r>
    </w:p>
    <w:p>
      <w:pPr>
        <w:pStyle w:val="Heading2"/>
      </w:pPr>
      <w:r>
        <w:t>23.3 Visualization rule</w:t>
      </w:r>
    </w:p>
    <w:tbl>
      <w:tblPr>
        <w:tblStyle w:val="TableGrid"/>
        <w:tblW w:type="auto" w:w="0"/>
        <w:tblLook w:firstColumn="1" w:firstRow="1" w:lastColumn="0" w:lastRow="0" w:noHBand="0" w:noVBand="1" w:val="04A0"/>
      </w:tblPr>
      <w:tblGrid>
        <w:gridCol w:w="10224"/>
      </w:tblGrid>
      <w:tr>
        <w:trPr>
          <w:cantSplit/>
        </w:trPr>
        <w:tc>
          <w:tcPr>
            <w:tcW w:type="dxa" w:w="10224"/>
            <w:shd w:fill="FEE2E2"/>
          </w:tcPr>
          <w:p>
            <w:r/>
            <w:r>
              <w:rPr>
                <w:b/>
                <w:color w:val="991B1B"/>
                <w:sz w:val="18"/>
              </w:rPr>
              <w:t>No fake spread animation</w:t>
              <w:br/>
            </w:r>
            <w:r>
              <w:rPr>
                <w:sz w:val="17"/>
              </w:rPr>
              <w:t>The frontend must animate the same arrival-time solution produced by this engine. It must not draw an independent expanding circle, ellipse, or hand-authored polygon just to look smoother.</w:t>
            </w:r>
          </w:p>
        </w:tc>
      </w:tr>
    </w:tbl>
    <w:p/>
    <w:p>
      <w:pPr>
        <w:pStyle w:val="Heading1"/>
      </w:pPr>
      <w:r>
        <w:t>24. Frontend / Dashboard Geospatial Contract</w:t>
      </w:r>
    </w:p>
    <w:p>
      <w:pPr>
        <w:pStyle w:val="Heading2"/>
      </w:pPr>
      <w:r>
        <w:t>24.1 Map objects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Object</w:t>
            </w:r>
          </w:p>
        </w:tc>
        <w:tc>
          <w:tcPr>
            <w:tcW w:type="dxa" w:w="5112"/>
            <w:vAlign w:val="center"/>
            <w:shd w:fill="0B5A75"/>
          </w:tcPr>
          <w:p>
            <w:pPr>
              <w:spacing w:after="0"/>
            </w:pPr>
            <w:r/>
            <w:r>
              <w:rPr>
                <w:rFonts w:ascii="Aptos" w:hAnsi="Aptos"/>
                <w:b/>
                <w:color w:val="FFFFFF"/>
                <w:sz w:val="15"/>
              </w:rPr>
              <w:t>Source</w:t>
            </w:r>
          </w:p>
        </w:tc>
      </w:tr>
      <w:tr>
        <w:tc>
          <w:tcPr>
            <w:tcW w:type="dxa" w:w="5112"/>
            <w:vAlign w:val="center"/>
          </w:tcPr>
          <w:p>
            <w:pPr>
              <w:spacing w:after="0"/>
            </w:pPr>
            <w:r/>
            <w:r>
              <w:rPr>
                <w:rFonts w:ascii="Aptos" w:hAnsi="Aptos"/>
                <w:b w:val="0"/>
                <w:color w:val="111827"/>
                <w:sz w:val="15"/>
              </w:rPr>
              <w:t>Current footprint</w:t>
            </w:r>
          </w:p>
        </w:tc>
        <w:tc>
          <w:tcPr>
            <w:tcW w:type="dxa" w:w="5112"/>
            <w:vAlign w:val="center"/>
          </w:tcPr>
          <w:p>
            <w:pPr>
              <w:spacing w:after="0"/>
            </w:pPr>
            <w:r/>
            <w:r>
              <w:rPr>
                <w:rFonts w:ascii="Aptos" w:hAnsi="Aptos"/>
                <w:b w:val="0"/>
                <w:color w:val="111827"/>
                <w:sz w:val="15"/>
              </w:rPr>
              <w:t>Physical arrival-time-derived geometry.</w:t>
            </w:r>
          </w:p>
        </w:tc>
      </w:tr>
      <w:tr>
        <w:tc>
          <w:tcPr>
            <w:tcW w:type="dxa" w:w="5112"/>
            <w:vAlign w:val="center"/>
            <w:shd w:fill="F3F4F6"/>
          </w:tcPr>
          <w:p>
            <w:pPr>
              <w:spacing w:after="0"/>
            </w:pPr>
            <w:r/>
            <w:r>
              <w:rPr>
                <w:rFonts w:ascii="Aptos" w:hAnsi="Aptos"/>
                <w:b w:val="0"/>
                <w:color w:val="111827"/>
                <w:sz w:val="15"/>
              </w:rPr>
              <w:t>Warning zone</w:t>
            </w:r>
          </w:p>
        </w:tc>
        <w:tc>
          <w:tcPr>
            <w:tcW w:type="dxa" w:w="5112"/>
            <w:vAlign w:val="center"/>
            <w:shd w:fill="F3F4F6"/>
          </w:tcPr>
          <w:p>
            <w:pPr>
              <w:spacing w:after="0"/>
            </w:pPr>
            <w:r/>
            <w:r>
              <w:rPr>
                <w:rFonts w:ascii="Aptos" w:hAnsi="Aptos"/>
                <w:b w:val="0"/>
                <w:color w:val="111827"/>
                <w:sz w:val="15"/>
              </w:rPr>
              <w:t>Short-horizon arrival threshold.</w:t>
            </w:r>
          </w:p>
        </w:tc>
      </w:tr>
      <w:tr>
        <w:tc>
          <w:tcPr>
            <w:tcW w:type="dxa" w:w="5112"/>
            <w:vAlign w:val="center"/>
          </w:tcPr>
          <w:p>
            <w:pPr>
              <w:spacing w:after="0"/>
            </w:pPr>
            <w:r/>
            <w:r>
              <w:rPr>
                <w:rFonts w:ascii="Aptos" w:hAnsi="Aptos"/>
                <w:b w:val="0"/>
                <w:color w:val="111827"/>
                <w:sz w:val="15"/>
              </w:rPr>
              <w:t>Projection</w:t>
            </w:r>
          </w:p>
        </w:tc>
        <w:tc>
          <w:tcPr>
            <w:tcW w:type="dxa" w:w="5112"/>
            <w:vAlign w:val="center"/>
          </w:tcPr>
          <w:p>
            <w:pPr>
              <w:spacing w:after="0"/>
            </w:pPr>
            <w:r/>
            <w:r>
              <w:rPr>
                <w:rFonts w:ascii="Aptos" w:hAnsi="Aptos"/>
                <w:b w:val="0"/>
                <w:color w:val="111827"/>
                <w:sz w:val="15"/>
              </w:rPr>
              <w:t>Longer-horizon arrival threshold.</w:t>
            </w:r>
          </w:p>
        </w:tc>
      </w:tr>
      <w:tr>
        <w:tc>
          <w:tcPr>
            <w:tcW w:type="dxa" w:w="5112"/>
            <w:vAlign w:val="center"/>
            <w:shd w:fill="F3F4F6"/>
          </w:tcPr>
          <w:p>
            <w:pPr>
              <w:spacing w:after="0"/>
            </w:pPr>
            <w:r/>
            <w:r>
              <w:rPr>
                <w:rFonts w:ascii="Aptos" w:hAnsi="Aptos"/>
                <w:b w:val="0"/>
                <w:color w:val="111827"/>
                <w:sz w:val="15"/>
              </w:rPr>
              <w:t>Operational buffer</w:t>
            </w:r>
          </w:p>
        </w:tc>
        <w:tc>
          <w:tcPr>
            <w:tcW w:type="dxa" w:w="5112"/>
            <w:vAlign w:val="center"/>
            <w:shd w:fill="F3F4F6"/>
          </w:tcPr>
          <w:p>
            <w:pPr>
              <w:spacing w:after="0"/>
            </w:pPr>
            <w:r/>
            <w:r>
              <w:rPr>
                <w:rFonts w:ascii="Aptos" w:hAnsi="Aptos"/>
                <w:b w:val="0"/>
                <w:color w:val="111827"/>
                <w:sz w:val="15"/>
              </w:rPr>
              <w:t>Policy buffer around physical footprint.</w:t>
            </w:r>
          </w:p>
        </w:tc>
      </w:tr>
      <w:tr>
        <w:tc>
          <w:tcPr>
            <w:tcW w:type="dxa" w:w="5112"/>
            <w:vAlign w:val="center"/>
          </w:tcPr>
          <w:p>
            <w:pPr>
              <w:spacing w:after="0"/>
            </w:pPr>
            <w:r/>
            <w:r>
              <w:rPr>
                <w:rFonts w:ascii="Aptos" w:hAnsi="Aptos"/>
                <w:b w:val="0"/>
                <w:color w:val="111827"/>
                <w:sz w:val="15"/>
              </w:rPr>
              <w:t>Risk heatmap</w:t>
            </w:r>
          </w:p>
        </w:tc>
        <w:tc>
          <w:tcPr>
            <w:tcW w:type="dxa" w:w="5112"/>
            <w:vAlign w:val="center"/>
          </w:tcPr>
          <w:p>
            <w:pPr>
              <w:spacing w:after="0"/>
            </w:pPr>
            <w:r/>
            <w:r>
              <w:rPr>
                <w:rFonts w:ascii="Aptos" w:hAnsi="Aptos"/>
                <w:b w:val="0"/>
                <w:color w:val="111827"/>
                <w:sz w:val="15"/>
              </w:rPr>
              <w:t>Hazard Risk Surface raster/source.</w:t>
            </w:r>
          </w:p>
        </w:tc>
      </w:tr>
      <w:tr>
        <w:tc>
          <w:tcPr>
            <w:tcW w:type="dxa" w:w="5112"/>
            <w:vAlign w:val="center"/>
            <w:shd w:fill="F3F4F6"/>
          </w:tcPr>
          <w:p>
            <w:pPr>
              <w:spacing w:after="0"/>
            </w:pPr>
            <w:r/>
            <w:r>
              <w:rPr>
                <w:rFonts w:ascii="Aptos" w:hAnsi="Aptos"/>
                <w:b w:val="0"/>
                <w:color w:val="111827"/>
                <w:sz w:val="15"/>
              </w:rPr>
              <w:t>Wind vector</w:t>
            </w:r>
          </w:p>
        </w:tc>
        <w:tc>
          <w:tcPr>
            <w:tcW w:type="dxa" w:w="5112"/>
            <w:vAlign w:val="center"/>
            <w:shd w:fill="F3F4F6"/>
          </w:tcPr>
          <w:p>
            <w:pPr>
              <w:spacing w:after="0"/>
            </w:pPr>
            <w:r/>
            <w:r>
              <w:rPr>
                <w:rFonts w:ascii="Aptos" w:hAnsi="Aptos"/>
                <w:b w:val="0"/>
                <w:color w:val="111827"/>
                <w:sz w:val="15"/>
              </w:rPr>
              <w:t>Current wind TO direction + speed.</w:t>
            </w:r>
          </w:p>
        </w:tc>
      </w:tr>
      <w:tr>
        <w:tc>
          <w:tcPr>
            <w:tcW w:type="dxa" w:w="5112"/>
            <w:vAlign w:val="center"/>
          </w:tcPr>
          <w:p>
            <w:pPr>
              <w:spacing w:after="0"/>
            </w:pPr>
            <w:r/>
            <w:r>
              <w:rPr>
                <w:rFonts w:ascii="Aptos" w:hAnsi="Aptos"/>
                <w:b w:val="0"/>
                <w:color w:val="111827"/>
                <w:sz w:val="15"/>
              </w:rPr>
              <w:t>Head-fire direction</w:t>
            </w:r>
          </w:p>
        </w:tc>
        <w:tc>
          <w:tcPr>
            <w:tcW w:type="dxa" w:w="5112"/>
            <w:vAlign w:val="center"/>
          </w:tcPr>
          <w:p>
            <w:pPr>
              <w:spacing w:after="0"/>
            </w:pPr>
            <w:r/>
            <w:r>
              <w:rPr>
                <w:rFonts w:ascii="Aptos" w:hAnsi="Aptos"/>
                <w:b w:val="0"/>
                <w:color w:val="111827"/>
                <w:sz w:val="15"/>
              </w:rPr>
              <w:t>θ_eff / derived model direction.</w:t>
            </w:r>
          </w:p>
        </w:tc>
      </w:tr>
      <w:tr>
        <w:tc>
          <w:tcPr>
            <w:tcW w:type="dxa" w:w="5112"/>
            <w:vAlign w:val="center"/>
            <w:shd w:fill="F3F4F6"/>
          </w:tcPr>
          <w:p>
            <w:pPr>
              <w:spacing w:after="0"/>
            </w:pPr>
            <w:r/>
            <w:r>
              <w:rPr>
                <w:rFonts w:ascii="Aptos" w:hAnsi="Aptos"/>
                <w:b w:val="0"/>
                <w:color w:val="111827"/>
                <w:sz w:val="15"/>
              </w:rPr>
              <w:t>Terrain</w:t>
            </w:r>
          </w:p>
        </w:tc>
        <w:tc>
          <w:tcPr>
            <w:tcW w:type="dxa" w:w="5112"/>
            <w:vAlign w:val="center"/>
            <w:shd w:fill="F3F4F6"/>
          </w:tcPr>
          <w:p>
            <w:pPr>
              <w:spacing w:after="0"/>
            </w:pPr>
            <w:r/>
            <w:r>
              <w:rPr>
                <w:rFonts w:ascii="Aptos" w:hAnsi="Aptos"/>
                <w:b w:val="0"/>
                <w:color w:val="111827"/>
                <w:sz w:val="15"/>
              </w:rPr>
              <w:t>DEM/slope analytical layer where enabled.</w:t>
            </w:r>
          </w:p>
        </w:tc>
      </w:tr>
      <w:tr>
        <w:tc>
          <w:tcPr>
            <w:tcW w:type="dxa" w:w="5112"/>
            <w:vAlign w:val="center"/>
          </w:tcPr>
          <w:p>
            <w:pPr>
              <w:spacing w:after="0"/>
            </w:pPr>
            <w:r/>
            <w:r>
              <w:rPr>
                <w:rFonts w:ascii="Aptos" w:hAnsi="Aptos"/>
                <w:b w:val="0"/>
                <w:color w:val="111827"/>
                <w:sz w:val="15"/>
              </w:rPr>
              <w:t>Fuel</w:t>
            </w:r>
          </w:p>
        </w:tc>
        <w:tc>
          <w:tcPr>
            <w:tcW w:type="dxa" w:w="5112"/>
            <w:vAlign w:val="center"/>
          </w:tcPr>
          <w:p>
            <w:pPr>
              <w:spacing w:after="0"/>
            </w:pPr>
            <w:r/>
            <w:r>
              <w:rPr>
                <w:rFonts w:ascii="Aptos" w:hAnsi="Aptos"/>
                <w:b w:val="0"/>
                <w:color w:val="111827"/>
                <w:sz w:val="15"/>
              </w:rPr>
              <w:t>Fuel-class context layer where enabled.</w:t>
            </w:r>
          </w:p>
        </w:tc>
      </w:tr>
      <w:tr>
        <w:tc>
          <w:tcPr>
            <w:tcW w:type="dxa" w:w="5112"/>
            <w:vAlign w:val="center"/>
            <w:shd w:fill="F3F4F6"/>
          </w:tcPr>
          <w:p>
            <w:pPr>
              <w:spacing w:after="0"/>
            </w:pPr>
            <w:r/>
            <w:r>
              <w:rPr>
                <w:rFonts w:ascii="Aptos" w:hAnsi="Aptos"/>
                <w:b w:val="0"/>
                <w:color w:val="111827"/>
                <w:sz w:val="15"/>
              </w:rPr>
              <w:t>Nodes</w:t>
            </w:r>
          </w:p>
        </w:tc>
        <w:tc>
          <w:tcPr>
            <w:tcW w:type="dxa" w:w="5112"/>
            <w:vAlign w:val="center"/>
            <w:shd w:fill="F3F4F6"/>
          </w:tcPr>
          <w:p>
            <w:pPr>
              <w:spacing w:after="0"/>
            </w:pPr>
            <w:r/>
            <w:r>
              <w:rPr>
                <w:rFonts w:ascii="Aptos" w:hAnsi="Aptos"/>
                <w:b w:val="0"/>
                <w:color w:val="111827"/>
                <w:sz w:val="15"/>
              </w:rPr>
              <w:t>Node registry.</w:t>
            </w:r>
          </w:p>
        </w:tc>
      </w:tr>
      <w:tr>
        <w:tc>
          <w:tcPr>
            <w:tcW w:type="dxa" w:w="5112"/>
            <w:vAlign w:val="center"/>
          </w:tcPr>
          <w:p>
            <w:pPr>
              <w:spacing w:after="0"/>
            </w:pPr>
            <w:r/>
            <w:r>
              <w:rPr>
                <w:rFonts w:ascii="Aptos" w:hAnsi="Aptos"/>
                <w:b w:val="0"/>
                <w:color w:val="111827"/>
                <w:sz w:val="15"/>
              </w:rPr>
              <w:t>SOS</w:t>
            </w:r>
          </w:p>
        </w:tc>
        <w:tc>
          <w:tcPr>
            <w:tcW w:type="dxa" w:w="5112"/>
            <w:vAlign w:val="center"/>
          </w:tcPr>
          <w:p>
            <w:pPr>
              <w:spacing w:after="0"/>
            </w:pPr>
            <w:r/>
            <w:r>
              <w:rPr>
                <w:rFonts w:ascii="Aptos" w:hAnsi="Aptos"/>
                <w:b w:val="0"/>
                <w:color w:val="111827"/>
                <w:sz w:val="15"/>
              </w:rPr>
              <w:t>SOS store.</w:t>
            </w:r>
          </w:p>
        </w:tc>
      </w:tr>
      <w:tr>
        <w:tc>
          <w:tcPr>
            <w:tcW w:type="dxa" w:w="5112"/>
            <w:vAlign w:val="center"/>
            <w:shd w:fill="F3F4F6"/>
          </w:tcPr>
          <w:p>
            <w:pPr>
              <w:spacing w:after="0"/>
            </w:pPr>
            <w:r/>
            <w:r>
              <w:rPr>
                <w:rFonts w:ascii="Aptos" w:hAnsi="Aptos"/>
                <w:b w:val="0"/>
                <w:color w:val="111827"/>
                <w:sz w:val="15"/>
              </w:rPr>
              <w:t>Population/infrastructure</w:t>
            </w:r>
          </w:p>
        </w:tc>
        <w:tc>
          <w:tcPr>
            <w:tcW w:type="dxa" w:w="5112"/>
            <w:vAlign w:val="center"/>
            <w:shd w:fill="F3F4F6"/>
          </w:tcPr>
          <w:p>
            <w:pPr>
              <w:spacing w:after="0"/>
            </w:pPr>
            <w:r/>
            <w:r>
              <w:rPr>
                <w:rFonts w:ascii="Aptos" w:hAnsi="Aptos"/>
                <w:b w:val="0"/>
                <w:color w:val="111827"/>
                <w:sz w:val="15"/>
              </w:rPr>
              <w:t>Exposure data.</w:t>
            </w:r>
          </w:p>
        </w:tc>
      </w:tr>
    </w:tbl>
    <w:p/>
    <w:p>
      <w:pPr>
        <w:pStyle w:val="Heading2"/>
      </w:pPr>
      <w:r>
        <w:t>24.2 Required map semantics</w:t>
      </w:r>
    </w:p>
    <w:p>
      <w:pPr>
        <w:pStyle w:val="ListBullet"/>
        <w:spacing w:after="40"/>
      </w:pPr>
      <w:r>
        <w:t>Current footprint and operational buffer must be visually distinguishable.</w:t>
      </w:r>
    </w:p>
    <w:p>
      <w:pPr>
        <w:pStyle w:val="ListBullet"/>
        <w:spacing w:after="40"/>
      </w:pPr>
      <w:r>
        <w:t>Warning and projection must be labeled with time horizon.</w:t>
      </w:r>
    </w:p>
    <w:p>
      <w:pPr>
        <w:pStyle w:val="ListBullet"/>
        <w:spacing w:after="40"/>
      </w:pPr>
      <w:r>
        <w:t>Risk heatmap must not be mistaken for exact physical geometry.</w:t>
      </w:r>
    </w:p>
    <w:p>
      <w:pPr>
        <w:pStyle w:val="ListBullet"/>
        <w:spacing w:after="40"/>
      </w:pPr>
      <w:r>
        <w:t>Projection must be marked conditional on current/model assumptions.</w:t>
      </w:r>
    </w:p>
    <w:p>
      <w:pPr>
        <w:pStyle w:val="ListBullet"/>
        <w:spacing w:after="40"/>
      </w:pPr>
      <w:r>
        <w:t>Stale/degraded environmental inputs must be visible.</w:t>
      </w:r>
    </w:p>
    <w:p>
      <w:pPr>
        <w:pStyle w:val="ListBullet"/>
        <w:spacing w:after="40"/>
      </w:pPr>
      <w:r>
        <w:t>Map controls must allow independent toggling of each major layer.</w:t>
      </w:r>
    </w:p>
    <w:p>
      <w:pPr>
        <w:pStyle w:val="Heading2"/>
      </w:pPr>
      <w:r>
        <w:t>24.3 Fire Spread page</w:t>
      </w:r>
    </w:p>
    <w:p>
      <w:r>
        <w:t>The Fire Spread page must expose LIVE/SIMULATION state, play/pause/reset, time slider, current footprint, projection, risk layer, wind/environment context, and model assumptions. The dashboard may show advanced technical data, but must obtain them from this backend output rather than recomputing them.</w:t>
      </w:r>
    </w:p>
    <w:p>
      <w:pPr>
        <w:pStyle w:val="Heading1"/>
      </w:pPr>
      <w:r>
        <w:t>25. Failure &amp; Edge-Case Matrix</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Condition</w:t>
            </w:r>
          </w:p>
        </w:tc>
        <w:tc>
          <w:tcPr>
            <w:tcW w:type="dxa" w:w="5112"/>
            <w:vAlign w:val="center"/>
            <w:shd w:fill="0B5A75"/>
          </w:tcPr>
          <w:p>
            <w:pPr>
              <w:spacing w:after="0"/>
            </w:pPr>
            <w:r/>
            <w:r>
              <w:rPr>
                <w:rFonts w:ascii="Aptos" w:hAnsi="Aptos"/>
                <w:b/>
                <w:color w:val="FFFFFF"/>
                <w:sz w:val="15"/>
              </w:rPr>
              <w:t>Expected behavior</w:t>
            </w:r>
          </w:p>
        </w:tc>
      </w:tr>
      <w:tr>
        <w:tc>
          <w:tcPr>
            <w:tcW w:type="dxa" w:w="5112"/>
            <w:vAlign w:val="center"/>
          </w:tcPr>
          <w:p>
            <w:pPr>
              <w:spacing w:after="0"/>
            </w:pPr>
            <w:r/>
            <w:r>
              <w:rPr>
                <w:rFonts w:ascii="Aptos" w:hAnsi="Aptos"/>
                <w:b w:val="0"/>
                <w:color w:val="111827"/>
                <w:sz w:val="15"/>
              </w:rPr>
              <w:t>Calm wind</w:t>
            </w:r>
          </w:p>
        </w:tc>
        <w:tc>
          <w:tcPr>
            <w:tcW w:type="dxa" w:w="5112"/>
            <w:vAlign w:val="center"/>
          </w:tcPr>
          <w:p>
            <w:pPr>
              <w:spacing w:after="0"/>
            </w:pPr>
            <w:r/>
            <w:r>
              <w:rPr>
                <w:rFonts w:ascii="Aptos" w:hAnsi="Aptos"/>
                <w:b w:val="0"/>
                <w:color w:val="111827"/>
                <w:sz w:val="15"/>
              </w:rPr>
              <w:t>Near-isotropic spread; no division/degenerate ellipse errors.</w:t>
            </w:r>
          </w:p>
        </w:tc>
      </w:tr>
      <w:tr>
        <w:tc>
          <w:tcPr>
            <w:tcW w:type="dxa" w:w="5112"/>
            <w:vAlign w:val="center"/>
            <w:shd w:fill="F3F4F6"/>
          </w:tcPr>
          <w:p>
            <w:pPr>
              <w:spacing w:after="0"/>
            </w:pPr>
            <w:r/>
            <w:r>
              <w:rPr>
                <w:rFonts w:ascii="Aptos" w:hAnsi="Aptos"/>
                <w:b w:val="0"/>
                <w:color w:val="111827"/>
                <w:sz w:val="15"/>
              </w:rPr>
              <w:t>Missing wind</w:t>
            </w:r>
          </w:p>
        </w:tc>
        <w:tc>
          <w:tcPr>
            <w:tcW w:type="dxa" w:w="5112"/>
            <w:vAlign w:val="center"/>
            <w:shd w:fill="F3F4F6"/>
          </w:tcPr>
          <w:p>
            <w:pPr>
              <w:spacing w:after="0"/>
            </w:pPr>
            <w:r/>
            <w:r>
              <w:rPr>
                <w:rFonts w:ascii="Aptos" w:hAnsi="Aptos"/>
                <w:b w:val="0"/>
                <w:color w:val="111827"/>
                <w:sz w:val="15"/>
              </w:rPr>
              <w:t>Explicit DEGRADED / calm-wind assumption.</w:t>
            </w:r>
          </w:p>
        </w:tc>
      </w:tr>
      <w:tr>
        <w:tc>
          <w:tcPr>
            <w:tcW w:type="dxa" w:w="5112"/>
            <w:vAlign w:val="center"/>
          </w:tcPr>
          <w:p>
            <w:pPr>
              <w:spacing w:after="0"/>
            </w:pPr>
            <w:r/>
            <w:r>
              <w:rPr>
                <w:rFonts w:ascii="Aptos" w:hAnsi="Aptos"/>
                <w:b w:val="0"/>
                <w:color w:val="111827"/>
                <w:sz w:val="15"/>
              </w:rPr>
              <w:t>Stale wind</w:t>
            </w:r>
          </w:p>
        </w:tc>
        <w:tc>
          <w:tcPr>
            <w:tcW w:type="dxa" w:w="5112"/>
            <w:vAlign w:val="center"/>
          </w:tcPr>
          <w:p>
            <w:pPr>
              <w:spacing w:after="0"/>
            </w:pPr>
            <w:r/>
            <w:r>
              <w:rPr>
                <w:rFonts w:ascii="Aptos" w:hAnsi="Aptos"/>
                <w:b w:val="0"/>
                <w:color w:val="111827"/>
                <w:sz w:val="15"/>
              </w:rPr>
              <w:t>Information degraded; projection updated or constrained.</w:t>
            </w:r>
          </w:p>
        </w:tc>
      </w:tr>
      <w:tr>
        <w:tc>
          <w:tcPr>
            <w:tcW w:type="dxa" w:w="5112"/>
            <w:vAlign w:val="center"/>
            <w:shd w:fill="F3F4F6"/>
          </w:tcPr>
          <w:p>
            <w:pPr>
              <w:spacing w:after="0"/>
            </w:pPr>
            <w:r/>
            <w:r>
              <w:rPr>
                <w:rFonts w:ascii="Aptos" w:hAnsi="Aptos"/>
                <w:b w:val="0"/>
                <w:color w:val="111827"/>
                <w:sz w:val="15"/>
              </w:rPr>
              <w:t>Wind from 0/90/180/270</w:t>
            </w:r>
          </w:p>
        </w:tc>
        <w:tc>
          <w:tcPr>
            <w:tcW w:type="dxa" w:w="5112"/>
            <w:vAlign w:val="center"/>
            <w:shd w:fill="F3F4F6"/>
          </w:tcPr>
          <w:p>
            <w:pPr>
              <w:spacing w:after="0"/>
            </w:pPr>
            <w:r/>
            <w:r>
              <w:rPr>
                <w:rFonts w:ascii="Aptos" w:hAnsi="Aptos"/>
                <w:b w:val="0"/>
                <w:color w:val="111827"/>
                <w:sz w:val="15"/>
              </w:rPr>
              <w:t>Direction conversion tested; footprint rotates correctly.</w:t>
            </w:r>
          </w:p>
        </w:tc>
      </w:tr>
      <w:tr>
        <w:tc>
          <w:tcPr>
            <w:tcW w:type="dxa" w:w="5112"/>
            <w:vAlign w:val="center"/>
          </w:tcPr>
          <w:p>
            <w:pPr>
              <w:spacing w:after="0"/>
            </w:pPr>
            <w:r/>
            <w:r>
              <w:rPr>
                <w:rFonts w:ascii="Aptos" w:hAnsi="Aptos"/>
                <w:b w:val="0"/>
                <w:color w:val="111827"/>
                <w:sz w:val="15"/>
              </w:rPr>
              <w:t>Wind + slope aligned</w:t>
            </w:r>
          </w:p>
        </w:tc>
        <w:tc>
          <w:tcPr>
            <w:tcW w:type="dxa" w:w="5112"/>
            <w:vAlign w:val="center"/>
          </w:tcPr>
          <w:p>
            <w:pPr>
              <w:spacing w:after="0"/>
            </w:pPr>
            <w:r/>
            <w:r>
              <w:rPr>
                <w:rFonts w:ascii="Aptos" w:hAnsi="Aptos"/>
                <w:b w:val="0"/>
                <w:color w:val="111827"/>
                <w:sz w:val="15"/>
              </w:rPr>
              <w:t>Faster preferred spread in aligned direction.</w:t>
            </w:r>
          </w:p>
        </w:tc>
      </w:tr>
      <w:tr>
        <w:tc>
          <w:tcPr>
            <w:tcW w:type="dxa" w:w="5112"/>
            <w:vAlign w:val="center"/>
            <w:shd w:fill="F3F4F6"/>
          </w:tcPr>
          <w:p>
            <w:pPr>
              <w:spacing w:after="0"/>
            </w:pPr>
            <w:r/>
            <w:r>
              <w:rPr>
                <w:rFonts w:ascii="Aptos" w:hAnsi="Aptos"/>
                <w:b w:val="0"/>
                <w:color w:val="111827"/>
                <w:sz w:val="15"/>
              </w:rPr>
              <w:t>Wind + slope opposed</w:t>
            </w:r>
          </w:p>
        </w:tc>
        <w:tc>
          <w:tcPr>
            <w:tcW w:type="dxa" w:w="5112"/>
            <w:vAlign w:val="center"/>
            <w:shd w:fill="F3F4F6"/>
          </w:tcPr>
          <w:p>
            <w:pPr>
              <w:spacing w:after="0"/>
            </w:pPr>
            <w:r/>
            <w:r>
              <w:rPr>
                <w:rFonts w:ascii="Aptos" w:hAnsi="Aptos"/>
                <w:b w:val="0"/>
                <w:color w:val="111827"/>
                <w:sz w:val="15"/>
              </w:rPr>
              <w:t>Resultant direction reflects opposition; no sign errors.</w:t>
            </w:r>
          </w:p>
        </w:tc>
      </w:tr>
      <w:tr>
        <w:tc>
          <w:tcPr>
            <w:tcW w:type="dxa" w:w="5112"/>
            <w:vAlign w:val="center"/>
          </w:tcPr>
          <w:p>
            <w:pPr>
              <w:spacing w:after="0"/>
            </w:pPr>
            <w:r/>
            <w:r>
              <w:rPr>
                <w:rFonts w:ascii="Aptos" w:hAnsi="Aptos"/>
                <w:b w:val="0"/>
                <w:color w:val="111827"/>
                <w:sz w:val="15"/>
              </w:rPr>
              <w:t>Cross-slope wind</w:t>
            </w:r>
          </w:p>
        </w:tc>
        <w:tc>
          <w:tcPr>
            <w:tcW w:type="dxa" w:w="5112"/>
            <w:vAlign w:val="center"/>
          </w:tcPr>
          <w:p>
            <w:pPr>
              <w:spacing w:after="0"/>
            </w:pPr>
            <w:r/>
            <w:r>
              <w:rPr>
                <w:rFonts w:ascii="Aptos" w:hAnsi="Aptos"/>
                <w:b w:val="0"/>
                <w:color w:val="111827"/>
                <w:sz w:val="15"/>
              </w:rPr>
              <w:t>Resultant rotates between forcings rather than choosing one independently.</w:t>
            </w:r>
          </w:p>
        </w:tc>
      </w:tr>
      <w:tr>
        <w:tc>
          <w:tcPr>
            <w:tcW w:type="dxa" w:w="5112"/>
            <w:vAlign w:val="center"/>
            <w:shd w:fill="F3F4F6"/>
          </w:tcPr>
          <w:p>
            <w:pPr>
              <w:spacing w:after="0"/>
            </w:pPr>
            <w:r/>
            <w:r>
              <w:rPr>
                <w:rFonts w:ascii="Aptos" w:hAnsi="Aptos"/>
                <w:b w:val="0"/>
                <w:color w:val="111827"/>
                <w:sz w:val="15"/>
              </w:rPr>
              <w:t>Uniform fuel, flat, calm</w:t>
            </w:r>
          </w:p>
        </w:tc>
        <w:tc>
          <w:tcPr>
            <w:tcW w:type="dxa" w:w="5112"/>
            <w:vAlign w:val="center"/>
            <w:shd w:fill="F3F4F6"/>
          </w:tcPr>
          <w:p>
            <w:pPr>
              <w:spacing w:after="0"/>
            </w:pPr>
            <w:r/>
            <w:r>
              <w:rPr>
                <w:rFonts w:ascii="Aptos" w:hAnsi="Aptos"/>
                <w:b w:val="0"/>
                <w:color w:val="111827"/>
                <w:sz w:val="15"/>
              </w:rPr>
              <w:t>Near-circular spread with no grid-artifact star/diamond.</w:t>
            </w:r>
          </w:p>
        </w:tc>
      </w:tr>
      <w:tr>
        <w:tc>
          <w:tcPr>
            <w:tcW w:type="dxa" w:w="5112"/>
            <w:vAlign w:val="center"/>
          </w:tcPr>
          <w:p>
            <w:pPr>
              <w:spacing w:after="0"/>
            </w:pPr>
            <w:r/>
            <w:r>
              <w:rPr>
                <w:rFonts w:ascii="Aptos" w:hAnsi="Aptos"/>
                <w:b w:val="0"/>
                <w:color w:val="111827"/>
                <w:sz w:val="15"/>
              </w:rPr>
              <w:t>Different adjacent fuels</w:t>
            </w:r>
          </w:p>
        </w:tc>
        <w:tc>
          <w:tcPr>
            <w:tcW w:type="dxa" w:w="5112"/>
            <w:vAlign w:val="center"/>
          </w:tcPr>
          <w:p>
            <w:pPr>
              <w:spacing w:after="0"/>
            </w:pPr>
            <w:r/>
            <w:r>
              <w:rPr>
                <w:rFonts w:ascii="Aptos" w:hAnsi="Aptos"/>
                <w:b w:val="0"/>
                <w:color w:val="111827"/>
                <w:sz w:val="15"/>
              </w:rPr>
              <w:t>Different local spread response visible.</w:t>
            </w:r>
          </w:p>
        </w:tc>
      </w:tr>
      <w:tr>
        <w:tc>
          <w:tcPr>
            <w:tcW w:type="dxa" w:w="5112"/>
            <w:vAlign w:val="center"/>
            <w:shd w:fill="F3F4F6"/>
          </w:tcPr>
          <w:p>
            <w:pPr>
              <w:spacing w:after="0"/>
            </w:pPr>
            <w:r/>
            <w:r>
              <w:rPr>
                <w:rFonts w:ascii="Aptos" w:hAnsi="Aptos"/>
                <w:b w:val="0"/>
                <w:color w:val="111827"/>
                <w:sz w:val="15"/>
              </w:rPr>
              <w:t>Non-burnable barrier</w:t>
            </w:r>
          </w:p>
        </w:tc>
        <w:tc>
          <w:tcPr>
            <w:tcW w:type="dxa" w:w="5112"/>
            <w:vAlign w:val="center"/>
            <w:shd w:fill="F3F4F6"/>
          </w:tcPr>
          <w:p>
            <w:pPr>
              <w:spacing w:after="0"/>
            </w:pPr>
            <w:r/>
            <w:r>
              <w:rPr>
                <w:rFonts w:ascii="Aptos" w:hAnsi="Aptos"/>
                <w:b w:val="0"/>
                <w:color w:val="111827"/>
                <w:sz w:val="15"/>
              </w:rPr>
              <w:t>Fire routes around; never through barrier.</w:t>
            </w:r>
          </w:p>
        </w:tc>
      </w:tr>
      <w:tr>
        <w:tc>
          <w:tcPr>
            <w:tcW w:type="dxa" w:w="5112"/>
            <w:vAlign w:val="center"/>
          </w:tcPr>
          <w:p>
            <w:pPr>
              <w:spacing w:after="0"/>
            </w:pPr>
            <w:r/>
            <w:r>
              <w:rPr>
                <w:rFonts w:ascii="Aptos" w:hAnsi="Aptos"/>
                <w:b w:val="0"/>
                <w:color w:val="111827"/>
                <w:sz w:val="15"/>
              </w:rPr>
              <w:t>Ignition on non-burnable</w:t>
            </w:r>
          </w:p>
        </w:tc>
        <w:tc>
          <w:tcPr>
            <w:tcW w:type="dxa" w:w="5112"/>
            <w:vAlign w:val="center"/>
          </w:tcPr>
          <w:p>
            <w:pPr>
              <w:spacing w:after="0"/>
            </w:pPr>
            <w:r/>
            <w:r>
              <w:rPr>
                <w:rFonts w:ascii="Aptos" w:hAnsi="Aptos"/>
                <w:b w:val="0"/>
                <w:color w:val="111827"/>
                <w:sz w:val="15"/>
              </w:rPr>
              <w:t>Reject/flag.</w:t>
            </w:r>
          </w:p>
        </w:tc>
      </w:tr>
      <w:tr>
        <w:tc>
          <w:tcPr>
            <w:tcW w:type="dxa" w:w="5112"/>
            <w:vAlign w:val="center"/>
            <w:shd w:fill="F3F4F6"/>
          </w:tcPr>
          <w:p>
            <w:pPr>
              <w:spacing w:after="0"/>
            </w:pPr>
            <w:r/>
            <w:r>
              <w:rPr>
                <w:rFonts w:ascii="Aptos" w:hAnsi="Aptos"/>
                <w:b w:val="0"/>
                <w:color w:val="111827"/>
                <w:sz w:val="15"/>
              </w:rPr>
              <w:t>Missing DEM</w:t>
            </w:r>
          </w:p>
        </w:tc>
        <w:tc>
          <w:tcPr>
            <w:tcW w:type="dxa" w:w="5112"/>
            <w:vAlign w:val="center"/>
            <w:shd w:fill="F3F4F6"/>
          </w:tcPr>
          <w:p>
            <w:pPr>
              <w:spacing w:after="0"/>
            </w:pPr>
            <w:r/>
            <w:r>
              <w:rPr>
                <w:rFonts w:ascii="Aptos" w:hAnsi="Aptos"/>
                <w:b w:val="0"/>
                <w:color w:val="111827"/>
                <w:sz w:val="15"/>
              </w:rPr>
              <w:t>Explicit flat-terrain assumption or UNKNOWN.</w:t>
            </w:r>
          </w:p>
        </w:tc>
      </w:tr>
      <w:tr>
        <w:tc>
          <w:tcPr>
            <w:tcW w:type="dxa" w:w="5112"/>
            <w:vAlign w:val="center"/>
          </w:tcPr>
          <w:p>
            <w:pPr>
              <w:spacing w:after="0"/>
            </w:pPr>
            <w:r/>
            <w:r>
              <w:rPr>
                <w:rFonts w:ascii="Aptos" w:hAnsi="Aptos"/>
                <w:b w:val="0"/>
                <w:color w:val="111827"/>
                <w:sz w:val="15"/>
              </w:rPr>
              <w:t>Unknown fuel</w:t>
            </w:r>
          </w:p>
        </w:tc>
        <w:tc>
          <w:tcPr>
            <w:tcW w:type="dxa" w:w="5112"/>
            <w:vAlign w:val="center"/>
          </w:tcPr>
          <w:p>
            <w:pPr>
              <w:spacing w:after="0"/>
            </w:pPr>
            <w:r/>
            <w:r>
              <w:rPr>
                <w:rFonts w:ascii="Aptos" w:hAnsi="Aptos"/>
                <w:b w:val="0"/>
                <w:color w:val="111827"/>
                <w:sz w:val="15"/>
              </w:rPr>
              <w:t>Explicit default/unknown behavior; no silent extreme class.</w:t>
            </w:r>
          </w:p>
        </w:tc>
      </w:tr>
      <w:tr>
        <w:tc>
          <w:tcPr>
            <w:tcW w:type="dxa" w:w="5112"/>
            <w:vAlign w:val="center"/>
            <w:shd w:fill="F3F4F6"/>
          </w:tcPr>
          <w:p>
            <w:pPr>
              <w:spacing w:after="0"/>
            </w:pPr>
            <w:r/>
            <w:r>
              <w:rPr>
                <w:rFonts w:ascii="Aptos" w:hAnsi="Aptos"/>
                <w:b w:val="0"/>
                <w:color w:val="111827"/>
                <w:sz w:val="15"/>
              </w:rPr>
              <w:t>Domain boundary reached</w:t>
            </w:r>
          </w:p>
        </w:tc>
        <w:tc>
          <w:tcPr>
            <w:tcW w:type="dxa" w:w="5112"/>
            <w:vAlign w:val="center"/>
            <w:shd w:fill="F3F4F6"/>
          </w:tcPr>
          <w:p>
            <w:pPr>
              <w:spacing w:after="0"/>
            </w:pPr>
            <w:r/>
            <w:r>
              <w:rPr>
                <w:rFonts w:ascii="Aptos" w:hAnsi="Aptos"/>
                <w:b w:val="0"/>
                <w:color w:val="111827"/>
                <w:sz w:val="15"/>
              </w:rPr>
              <w:t>Clip and label domain limitation.</w:t>
            </w:r>
          </w:p>
        </w:tc>
      </w:tr>
      <w:tr>
        <w:tc>
          <w:tcPr>
            <w:tcW w:type="dxa" w:w="5112"/>
            <w:vAlign w:val="center"/>
          </w:tcPr>
          <w:p>
            <w:pPr>
              <w:spacing w:after="0"/>
            </w:pPr>
            <w:r/>
            <w:r>
              <w:rPr>
                <w:rFonts w:ascii="Aptos" w:hAnsi="Aptos"/>
                <w:b w:val="0"/>
                <w:color w:val="111827"/>
                <w:sz w:val="15"/>
              </w:rPr>
              <w:t>Disconnected burnable islands</w:t>
            </w:r>
          </w:p>
        </w:tc>
        <w:tc>
          <w:tcPr>
            <w:tcW w:type="dxa" w:w="5112"/>
            <w:vAlign w:val="center"/>
          </w:tcPr>
          <w:p>
            <w:pPr>
              <w:spacing w:after="0"/>
            </w:pPr>
            <w:r/>
            <w:r>
              <w:rPr>
                <w:rFonts w:ascii="Aptos" w:hAnsi="Aptos"/>
                <w:b w:val="0"/>
                <w:color w:val="111827"/>
                <w:sz w:val="15"/>
              </w:rPr>
              <w:t>MultiPolygon output supported.</w:t>
            </w:r>
          </w:p>
        </w:tc>
      </w:tr>
      <w:tr>
        <w:tc>
          <w:tcPr>
            <w:tcW w:type="dxa" w:w="5112"/>
            <w:vAlign w:val="center"/>
            <w:shd w:fill="F3F4F6"/>
          </w:tcPr>
          <w:p>
            <w:pPr>
              <w:spacing w:after="0"/>
            </w:pPr>
            <w:r/>
            <w:r>
              <w:rPr>
                <w:rFonts w:ascii="Aptos" w:hAnsi="Aptos"/>
                <w:b w:val="0"/>
                <w:color w:val="111827"/>
                <w:sz w:val="15"/>
              </w:rPr>
              <w:t>Self-intersecting derived polygon</w:t>
            </w:r>
          </w:p>
        </w:tc>
        <w:tc>
          <w:tcPr>
            <w:tcW w:type="dxa" w:w="5112"/>
            <w:vAlign w:val="center"/>
            <w:shd w:fill="F3F4F6"/>
          </w:tcPr>
          <w:p>
            <w:pPr>
              <w:spacing w:after="0"/>
            </w:pPr>
            <w:r/>
            <w:r>
              <w:rPr>
                <w:rFonts w:ascii="Aptos" w:hAnsi="Aptos"/>
                <w:b w:val="0"/>
                <w:color w:val="111827"/>
                <w:sz w:val="15"/>
              </w:rPr>
              <w:t>Attempt validity repair; otherwise flag.</w:t>
            </w:r>
          </w:p>
        </w:tc>
      </w:tr>
      <w:tr>
        <w:tc>
          <w:tcPr>
            <w:tcW w:type="dxa" w:w="5112"/>
            <w:vAlign w:val="center"/>
          </w:tcPr>
          <w:p>
            <w:pPr>
              <w:spacing w:after="0"/>
            </w:pPr>
            <w:r/>
            <w:r>
              <w:rPr>
                <w:rFonts w:ascii="Aptos" w:hAnsi="Aptos"/>
                <w:b w:val="0"/>
                <w:color w:val="111827"/>
                <w:sz w:val="15"/>
              </w:rPr>
              <w:t>Environmental change mid-run</w:t>
            </w:r>
          </w:p>
        </w:tc>
        <w:tc>
          <w:tcPr>
            <w:tcW w:type="dxa" w:w="5112"/>
            <w:vAlign w:val="center"/>
          </w:tcPr>
          <w:p>
            <w:pPr>
              <w:spacing w:after="0"/>
            </w:pPr>
            <w:r/>
            <w:r>
              <w:rPr>
                <w:rFonts w:ascii="Aptos" w:hAnsi="Aptos"/>
                <w:b w:val="0"/>
                <w:color w:val="111827"/>
                <w:sz w:val="15"/>
              </w:rPr>
              <w:t>Recompute from current perimeter; preserve historical elapsed field.</w:t>
            </w:r>
          </w:p>
        </w:tc>
      </w:tr>
      <w:tr>
        <w:tc>
          <w:tcPr>
            <w:tcW w:type="dxa" w:w="5112"/>
            <w:vAlign w:val="center"/>
            <w:shd w:fill="F3F4F6"/>
          </w:tcPr>
          <w:p>
            <w:pPr>
              <w:spacing w:after="0"/>
            </w:pPr>
            <w:r/>
            <w:r>
              <w:rPr>
                <w:rFonts w:ascii="Aptos" w:hAnsi="Aptos"/>
                <w:b w:val="0"/>
                <w:color w:val="111827"/>
                <w:sz w:val="15"/>
              </w:rPr>
              <w:t>High ROS</w:t>
            </w:r>
          </w:p>
        </w:tc>
        <w:tc>
          <w:tcPr>
            <w:tcW w:type="dxa" w:w="5112"/>
            <w:vAlign w:val="center"/>
            <w:shd w:fill="F3F4F6"/>
          </w:tcPr>
          <w:p>
            <w:pPr>
              <w:spacing w:after="0"/>
            </w:pPr>
            <w:r/>
            <w:r>
              <w:rPr>
                <w:rFonts w:ascii="Aptos" w:hAnsi="Aptos"/>
                <w:b w:val="0"/>
                <w:color w:val="111827"/>
                <w:sz w:val="15"/>
              </w:rPr>
              <w:t>No fixed-timestep instability expected, but queue/runtime benchmark must be measured.</w:t>
            </w:r>
          </w:p>
        </w:tc>
      </w:tr>
      <w:tr>
        <w:tc>
          <w:tcPr>
            <w:tcW w:type="dxa" w:w="5112"/>
            <w:vAlign w:val="center"/>
          </w:tcPr>
          <w:p>
            <w:pPr>
              <w:spacing w:after="0"/>
            </w:pPr>
            <w:r/>
            <w:r>
              <w:rPr>
                <w:rFonts w:ascii="Aptos" w:hAnsi="Aptos"/>
                <w:b w:val="0"/>
                <w:color w:val="111827"/>
                <w:sz w:val="15"/>
              </w:rPr>
              <w:t>No population data</w:t>
            </w:r>
          </w:p>
        </w:tc>
        <w:tc>
          <w:tcPr>
            <w:tcW w:type="dxa" w:w="5112"/>
            <w:vAlign w:val="center"/>
          </w:tcPr>
          <w:p>
            <w:pPr>
              <w:spacing w:after="0"/>
            </w:pPr>
            <w:r/>
            <w:r>
              <w:rPr>
                <w:rFonts w:ascii="Aptos" w:hAnsi="Aptos"/>
                <w:b w:val="0"/>
                <w:color w:val="111827"/>
                <w:sz w:val="15"/>
              </w:rPr>
              <w:t>Exposure unavailable; fire geometry still valid.</w:t>
            </w:r>
          </w:p>
        </w:tc>
      </w:tr>
    </w:tbl>
    <w:p/>
    <w:p>
      <w:pPr>
        <w:pStyle w:val="Heading1"/>
      </w:pPr>
      <w:r>
        <w:t>26. Mathematical &amp; Geospatial Acceptance Tests</w:t>
      </w:r>
    </w:p>
    <w:tbl>
      <w:tblPr>
        <w:tblStyle w:val="TableGrid"/>
        <w:tblW w:type="auto" w:w="0"/>
        <w:jc w:val="center"/>
        <w:tblLook w:firstColumn="1" w:firstRow="1" w:lastColumn="0" w:lastRow="0" w:noHBand="0" w:noVBand="1" w:val="04A0"/>
      </w:tblPr>
      <w:tblGrid>
        <w:gridCol w:w="3408"/>
        <w:gridCol w:w="3408"/>
        <w:gridCol w:w="3408"/>
      </w:tblGrid>
      <w:tr>
        <w:trPr>
          <w:tblHeader/>
        </w:trPr>
        <w:tc>
          <w:tcPr>
            <w:tcW w:type="dxa" w:w="3408"/>
            <w:vAlign w:val="center"/>
            <w:shd w:fill="0B5A75"/>
          </w:tcPr>
          <w:p>
            <w:pPr>
              <w:spacing w:after="0"/>
            </w:pPr>
            <w:r/>
            <w:r>
              <w:rPr>
                <w:rFonts w:ascii="Aptos" w:hAnsi="Aptos"/>
                <w:b/>
                <w:color w:val="FFFFFF"/>
                <w:sz w:val="13"/>
              </w:rPr>
              <w:t>ID</w:t>
            </w:r>
          </w:p>
        </w:tc>
        <w:tc>
          <w:tcPr>
            <w:tcW w:type="dxa" w:w="3408"/>
            <w:vAlign w:val="center"/>
            <w:shd w:fill="0B5A75"/>
          </w:tcPr>
          <w:p>
            <w:pPr>
              <w:spacing w:after="0"/>
            </w:pPr>
            <w:r/>
            <w:r>
              <w:rPr>
                <w:rFonts w:ascii="Aptos" w:hAnsi="Aptos"/>
                <w:b/>
                <w:color w:val="FFFFFF"/>
                <w:sz w:val="13"/>
              </w:rPr>
              <w:t>Test</w:t>
            </w:r>
          </w:p>
        </w:tc>
        <w:tc>
          <w:tcPr>
            <w:tcW w:type="dxa" w:w="3408"/>
            <w:vAlign w:val="center"/>
            <w:shd w:fill="0B5A75"/>
          </w:tcPr>
          <w:p>
            <w:pPr>
              <w:spacing w:after="0"/>
            </w:pPr>
            <w:r/>
            <w:r>
              <w:rPr>
                <w:rFonts w:ascii="Aptos" w:hAnsi="Aptos"/>
                <w:b/>
                <w:color w:val="FFFFFF"/>
                <w:sz w:val="13"/>
              </w:rPr>
              <w:t>Pass condition</w:t>
            </w:r>
          </w:p>
        </w:tc>
      </w:tr>
      <w:tr>
        <w:tc>
          <w:tcPr>
            <w:tcW w:type="dxa" w:w="3408"/>
            <w:vAlign w:val="center"/>
          </w:tcPr>
          <w:p>
            <w:pPr>
              <w:spacing w:after="0"/>
            </w:pPr>
            <w:r/>
            <w:r>
              <w:rPr>
                <w:rFonts w:ascii="Aptos" w:hAnsi="Aptos"/>
                <w:b w:val="0"/>
                <w:color w:val="111827"/>
                <w:sz w:val="13"/>
              </w:rPr>
              <w:t>GEO-001</w:t>
            </w:r>
          </w:p>
        </w:tc>
        <w:tc>
          <w:tcPr>
            <w:tcW w:type="dxa" w:w="3408"/>
            <w:vAlign w:val="center"/>
          </w:tcPr>
          <w:p>
            <w:pPr>
              <w:spacing w:after="0"/>
            </w:pPr>
            <w:r/>
            <w:r>
              <w:rPr>
                <w:rFonts w:ascii="Aptos" w:hAnsi="Aptos"/>
                <w:b w:val="0"/>
                <w:color w:val="111827"/>
                <w:sz w:val="13"/>
              </w:rPr>
              <w:t>Wind FROM→TO</w:t>
            </w:r>
          </w:p>
        </w:tc>
        <w:tc>
          <w:tcPr>
            <w:tcW w:type="dxa" w:w="3408"/>
            <w:vAlign w:val="center"/>
          </w:tcPr>
          <w:p>
            <w:pPr>
              <w:spacing w:after="0"/>
            </w:pPr>
            <w:r/>
            <w:r>
              <w:rPr>
                <w:rFonts w:ascii="Aptos" w:hAnsi="Aptos"/>
                <w:b w:val="0"/>
                <w:color w:val="111827"/>
                <w:sz w:val="13"/>
              </w:rPr>
              <w:t>Set wind FROM north and verify preferred fire propagation is southward (TO).</w:t>
            </w:r>
          </w:p>
        </w:tc>
      </w:tr>
      <w:tr>
        <w:tc>
          <w:tcPr>
            <w:tcW w:type="dxa" w:w="3408"/>
            <w:vAlign w:val="center"/>
            <w:shd w:fill="F3F4F6"/>
          </w:tcPr>
          <w:p>
            <w:pPr>
              <w:spacing w:after="0"/>
            </w:pPr>
            <w:r/>
            <w:r>
              <w:rPr>
                <w:rFonts w:ascii="Aptos" w:hAnsi="Aptos"/>
                <w:b w:val="0"/>
                <w:color w:val="111827"/>
                <w:sz w:val="13"/>
              </w:rPr>
              <w:t>GEO-002</w:t>
            </w:r>
          </w:p>
        </w:tc>
        <w:tc>
          <w:tcPr>
            <w:tcW w:type="dxa" w:w="3408"/>
            <w:vAlign w:val="center"/>
            <w:shd w:fill="F3F4F6"/>
          </w:tcPr>
          <w:p>
            <w:pPr>
              <w:spacing w:after="0"/>
            </w:pPr>
            <w:r/>
            <w:r>
              <w:rPr>
                <w:rFonts w:ascii="Aptos" w:hAnsi="Aptos"/>
                <w:b w:val="0"/>
                <w:color w:val="111827"/>
                <w:sz w:val="13"/>
              </w:rPr>
              <w:t>Wind rotation</w:t>
            </w:r>
          </w:p>
        </w:tc>
        <w:tc>
          <w:tcPr>
            <w:tcW w:type="dxa" w:w="3408"/>
            <w:vAlign w:val="center"/>
            <w:shd w:fill="F3F4F6"/>
          </w:tcPr>
          <w:p>
            <w:pPr>
              <w:spacing w:after="0"/>
            </w:pPr>
            <w:r/>
            <w:r>
              <w:rPr>
                <w:rFonts w:ascii="Aptos" w:hAnsi="Aptos"/>
                <w:b w:val="0"/>
                <w:color w:val="111827"/>
                <w:sz w:val="13"/>
              </w:rPr>
              <w:t>Rotate wind input by 90° in a uniform landscape; major spread axis rotates correspondingly.</w:t>
            </w:r>
          </w:p>
        </w:tc>
      </w:tr>
      <w:tr>
        <w:tc>
          <w:tcPr>
            <w:tcW w:type="dxa" w:w="3408"/>
            <w:vAlign w:val="center"/>
          </w:tcPr>
          <w:p>
            <w:pPr>
              <w:spacing w:after="0"/>
            </w:pPr>
            <w:r/>
            <w:r>
              <w:rPr>
                <w:rFonts w:ascii="Aptos" w:hAnsi="Aptos"/>
                <w:b w:val="0"/>
                <w:color w:val="111827"/>
                <w:sz w:val="13"/>
              </w:rPr>
              <w:t>GEO-003</w:t>
            </w:r>
          </w:p>
        </w:tc>
        <w:tc>
          <w:tcPr>
            <w:tcW w:type="dxa" w:w="3408"/>
            <w:vAlign w:val="center"/>
          </w:tcPr>
          <w:p>
            <w:pPr>
              <w:spacing w:after="0"/>
            </w:pPr>
            <w:r/>
            <w:r>
              <w:rPr>
                <w:rFonts w:ascii="Aptos" w:hAnsi="Aptos"/>
                <w:b w:val="0"/>
                <w:color w:val="111827"/>
                <w:sz w:val="13"/>
              </w:rPr>
              <w:t>Calm circularity</w:t>
            </w:r>
          </w:p>
        </w:tc>
        <w:tc>
          <w:tcPr>
            <w:tcW w:type="dxa" w:w="3408"/>
            <w:vAlign w:val="center"/>
          </w:tcPr>
          <w:p>
            <w:pPr>
              <w:spacing w:after="0"/>
            </w:pPr>
            <w:r/>
            <w:r>
              <w:rPr>
                <w:rFonts w:ascii="Aptos" w:hAnsi="Aptos"/>
                <w:b w:val="0"/>
                <w:color w:val="111827"/>
                <w:sz w:val="13"/>
              </w:rPr>
              <w:t>Uniform flat fuel + calm wind produces near-circular spread.</w:t>
            </w:r>
          </w:p>
        </w:tc>
      </w:tr>
      <w:tr>
        <w:tc>
          <w:tcPr>
            <w:tcW w:type="dxa" w:w="3408"/>
            <w:vAlign w:val="center"/>
            <w:shd w:fill="F3F4F6"/>
          </w:tcPr>
          <w:p>
            <w:pPr>
              <w:spacing w:after="0"/>
            </w:pPr>
            <w:r/>
            <w:r>
              <w:rPr>
                <w:rFonts w:ascii="Aptos" w:hAnsi="Aptos"/>
                <w:b w:val="0"/>
                <w:color w:val="111827"/>
                <w:sz w:val="13"/>
              </w:rPr>
              <w:t>GEO-004</w:t>
            </w:r>
          </w:p>
        </w:tc>
        <w:tc>
          <w:tcPr>
            <w:tcW w:type="dxa" w:w="3408"/>
            <w:vAlign w:val="center"/>
            <w:shd w:fill="F3F4F6"/>
          </w:tcPr>
          <w:p>
            <w:pPr>
              <w:spacing w:after="0"/>
            </w:pPr>
            <w:r/>
            <w:r>
              <w:rPr>
                <w:rFonts w:ascii="Aptos" w:hAnsi="Aptos"/>
                <w:b w:val="0"/>
                <w:color w:val="111827"/>
                <w:sz w:val="13"/>
              </w:rPr>
              <w:t>Diagonal distance</w:t>
            </w:r>
          </w:p>
        </w:tc>
        <w:tc>
          <w:tcPr>
            <w:tcW w:type="dxa" w:w="3408"/>
            <w:vAlign w:val="center"/>
            <w:shd w:fill="F3F4F6"/>
          </w:tcPr>
          <w:p>
            <w:pPr>
              <w:spacing w:after="0"/>
            </w:pPr>
            <w:r/>
            <w:r>
              <w:rPr>
                <w:rFonts w:ascii="Aptos" w:hAnsi="Aptos"/>
                <w:b w:val="0"/>
                <w:color w:val="111827"/>
                <w:sz w:val="13"/>
              </w:rPr>
              <w:t>Verify diagonal step uses Δ√2.</w:t>
            </w:r>
          </w:p>
        </w:tc>
      </w:tr>
      <w:tr>
        <w:tc>
          <w:tcPr>
            <w:tcW w:type="dxa" w:w="3408"/>
            <w:vAlign w:val="center"/>
          </w:tcPr>
          <w:p>
            <w:pPr>
              <w:spacing w:after="0"/>
            </w:pPr>
            <w:r/>
            <w:r>
              <w:rPr>
                <w:rFonts w:ascii="Aptos" w:hAnsi="Aptos"/>
                <w:b w:val="0"/>
                <w:color w:val="111827"/>
                <w:sz w:val="13"/>
              </w:rPr>
              <w:t>GEO-005</w:t>
            </w:r>
          </w:p>
        </w:tc>
        <w:tc>
          <w:tcPr>
            <w:tcW w:type="dxa" w:w="3408"/>
            <w:vAlign w:val="center"/>
          </w:tcPr>
          <w:p>
            <w:pPr>
              <w:spacing w:after="0"/>
            </w:pPr>
            <w:r/>
            <w:r>
              <w:rPr>
                <w:rFonts w:ascii="Aptos" w:hAnsi="Aptos"/>
                <w:b w:val="0"/>
                <w:color w:val="111827"/>
                <w:sz w:val="13"/>
              </w:rPr>
              <w:t>Barrier routing</w:t>
            </w:r>
          </w:p>
        </w:tc>
        <w:tc>
          <w:tcPr>
            <w:tcW w:type="dxa" w:w="3408"/>
            <w:vAlign w:val="center"/>
          </w:tcPr>
          <w:p>
            <w:pPr>
              <w:spacing w:after="0"/>
            </w:pPr>
            <w:r/>
            <w:r>
              <w:rPr>
                <w:rFonts w:ascii="Aptos" w:hAnsi="Aptos"/>
                <w:b w:val="0"/>
                <w:color w:val="111827"/>
                <w:sz w:val="13"/>
              </w:rPr>
              <w:t>Insert a non-burnable strip; fire routes around it.</w:t>
            </w:r>
          </w:p>
        </w:tc>
      </w:tr>
      <w:tr>
        <w:tc>
          <w:tcPr>
            <w:tcW w:type="dxa" w:w="3408"/>
            <w:vAlign w:val="center"/>
            <w:shd w:fill="F3F4F6"/>
          </w:tcPr>
          <w:p>
            <w:pPr>
              <w:spacing w:after="0"/>
            </w:pPr>
            <w:r/>
            <w:r>
              <w:rPr>
                <w:rFonts w:ascii="Aptos" w:hAnsi="Aptos"/>
                <w:b w:val="0"/>
                <w:color w:val="111827"/>
                <w:sz w:val="13"/>
              </w:rPr>
              <w:t>GEO-006</w:t>
            </w:r>
          </w:p>
        </w:tc>
        <w:tc>
          <w:tcPr>
            <w:tcW w:type="dxa" w:w="3408"/>
            <w:vAlign w:val="center"/>
            <w:shd w:fill="F3F4F6"/>
          </w:tcPr>
          <w:p>
            <w:pPr>
              <w:spacing w:after="0"/>
            </w:pPr>
            <w:r/>
            <w:r>
              <w:rPr>
                <w:rFonts w:ascii="Aptos" w:hAnsi="Aptos"/>
                <w:b w:val="0"/>
                <w:color w:val="111827"/>
                <w:sz w:val="13"/>
              </w:rPr>
              <w:t>Fuel heterogeneity</w:t>
            </w:r>
          </w:p>
        </w:tc>
        <w:tc>
          <w:tcPr>
            <w:tcW w:type="dxa" w:w="3408"/>
            <w:vAlign w:val="center"/>
            <w:shd w:fill="F3F4F6"/>
          </w:tcPr>
          <w:p>
            <w:pPr>
              <w:spacing w:after="0"/>
            </w:pPr>
            <w:r/>
            <w:r>
              <w:rPr>
                <w:rFonts w:ascii="Aptos" w:hAnsi="Aptos"/>
                <w:b w:val="0"/>
                <w:color w:val="111827"/>
                <w:sz w:val="13"/>
              </w:rPr>
              <w:t>Adjacent fuel classes create different local spread rates.</w:t>
            </w:r>
          </w:p>
        </w:tc>
      </w:tr>
      <w:tr>
        <w:tc>
          <w:tcPr>
            <w:tcW w:type="dxa" w:w="3408"/>
            <w:vAlign w:val="center"/>
          </w:tcPr>
          <w:p>
            <w:pPr>
              <w:spacing w:after="0"/>
            </w:pPr>
            <w:r/>
            <w:r>
              <w:rPr>
                <w:rFonts w:ascii="Aptos" w:hAnsi="Aptos"/>
                <w:b w:val="0"/>
                <w:color w:val="111827"/>
                <w:sz w:val="13"/>
              </w:rPr>
              <w:t>GEO-007</w:t>
            </w:r>
          </w:p>
        </w:tc>
        <w:tc>
          <w:tcPr>
            <w:tcW w:type="dxa" w:w="3408"/>
            <w:vAlign w:val="center"/>
          </w:tcPr>
          <w:p>
            <w:pPr>
              <w:spacing w:after="0"/>
            </w:pPr>
            <w:r/>
            <w:r>
              <w:rPr>
                <w:rFonts w:ascii="Aptos" w:hAnsi="Aptos"/>
                <w:b w:val="0"/>
                <w:color w:val="111827"/>
                <w:sz w:val="13"/>
              </w:rPr>
              <w:t>Moisture response</w:t>
            </w:r>
          </w:p>
        </w:tc>
        <w:tc>
          <w:tcPr>
            <w:tcW w:type="dxa" w:w="3408"/>
            <w:vAlign w:val="center"/>
          </w:tcPr>
          <w:p>
            <w:pPr>
              <w:spacing w:after="0"/>
            </w:pPr>
            <w:r/>
            <w:r>
              <w:rPr>
                <w:rFonts w:ascii="Aptos" w:hAnsi="Aptos"/>
                <w:b w:val="0"/>
                <w:color w:val="111827"/>
                <w:sz w:val="13"/>
              </w:rPr>
              <w:t>Increase moisture index while holding others fixed; spread decreases monotonically.</w:t>
            </w:r>
          </w:p>
        </w:tc>
      </w:tr>
      <w:tr>
        <w:tc>
          <w:tcPr>
            <w:tcW w:type="dxa" w:w="3408"/>
            <w:vAlign w:val="center"/>
            <w:shd w:fill="F3F4F6"/>
          </w:tcPr>
          <w:p>
            <w:pPr>
              <w:spacing w:after="0"/>
            </w:pPr>
            <w:r/>
            <w:r>
              <w:rPr>
                <w:rFonts w:ascii="Aptos" w:hAnsi="Aptos"/>
                <w:b w:val="0"/>
                <w:color w:val="111827"/>
                <w:sz w:val="13"/>
              </w:rPr>
              <w:t>GEO-008</w:t>
            </w:r>
          </w:p>
        </w:tc>
        <w:tc>
          <w:tcPr>
            <w:tcW w:type="dxa" w:w="3408"/>
            <w:vAlign w:val="center"/>
            <w:shd w:fill="F3F4F6"/>
          </w:tcPr>
          <w:p>
            <w:pPr>
              <w:spacing w:after="0"/>
            </w:pPr>
            <w:r/>
            <w:r>
              <w:rPr>
                <w:rFonts w:ascii="Aptos" w:hAnsi="Aptos"/>
                <w:b w:val="0"/>
                <w:color w:val="111827"/>
                <w:sz w:val="13"/>
              </w:rPr>
              <w:t>Slope response</w:t>
            </w:r>
          </w:p>
        </w:tc>
        <w:tc>
          <w:tcPr>
            <w:tcW w:type="dxa" w:w="3408"/>
            <w:vAlign w:val="center"/>
            <w:shd w:fill="F3F4F6"/>
          </w:tcPr>
          <w:p>
            <w:pPr>
              <w:spacing w:after="0"/>
            </w:pPr>
            <w:r/>
            <w:r>
              <w:rPr>
                <w:rFonts w:ascii="Aptos" w:hAnsi="Aptos"/>
                <w:b w:val="0"/>
                <w:color w:val="111827"/>
                <w:sz w:val="13"/>
              </w:rPr>
              <w:t>Increase slope in controlled direction; spread response follows calibrated monotonic slope function.</w:t>
            </w:r>
          </w:p>
        </w:tc>
      </w:tr>
      <w:tr>
        <w:tc>
          <w:tcPr>
            <w:tcW w:type="dxa" w:w="3408"/>
            <w:vAlign w:val="center"/>
          </w:tcPr>
          <w:p>
            <w:pPr>
              <w:spacing w:after="0"/>
            </w:pPr>
            <w:r/>
            <w:r>
              <w:rPr>
                <w:rFonts w:ascii="Aptos" w:hAnsi="Aptos"/>
                <w:b w:val="0"/>
                <w:color w:val="111827"/>
                <w:sz w:val="13"/>
              </w:rPr>
              <w:t>GEO-009</w:t>
            </w:r>
          </w:p>
        </w:tc>
        <w:tc>
          <w:tcPr>
            <w:tcW w:type="dxa" w:w="3408"/>
            <w:vAlign w:val="center"/>
          </w:tcPr>
          <w:p>
            <w:pPr>
              <w:spacing w:after="0"/>
            </w:pPr>
            <w:r/>
            <w:r>
              <w:rPr>
                <w:rFonts w:ascii="Aptos" w:hAnsi="Aptos"/>
                <w:b w:val="0"/>
                <w:color w:val="111827"/>
                <w:sz w:val="13"/>
              </w:rPr>
              <w:t>Wind+slope vector</w:t>
            </w:r>
          </w:p>
        </w:tc>
        <w:tc>
          <w:tcPr>
            <w:tcW w:type="dxa" w:w="3408"/>
            <w:vAlign w:val="center"/>
          </w:tcPr>
          <w:p>
            <w:pPr>
              <w:spacing w:after="0"/>
            </w:pPr>
            <w:r/>
            <w:r>
              <w:rPr>
                <w:rFonts w:ascii="Aptos" w:hAnsi="Aptos"/>
                <w:b w:val="0"/>
                <w:color w:val="111827"/>
                <w:sz w:val="13"/>
              </w:rPr>
              <w:t>Apply orthogonal wind/slope forcings; preferred direction reflects vector resultant.</w:t>
            </w:r>
          </w:p>
        </w:tc>
      </w:tr>
      <w:tr>
        <w:tc>
          <w:tcPr>
            <w:tcW w:type="dxa" w:w="3408"/>
            <w:vAlign w:val="center"/>
            <w:shd w:fill="F3F4F6"/>
          </w:tcPr>
          <w:p>
            <w:pPr>
              <w:spacing w:after="0"/>
            </w:pPr>
            <w:r/>
            <w:r>
              <w:rPr>
                <w:rFonts w:ascii="Aptos" w:hAnsi="Aptos"/>
                <w:b w:val="0"/>
                <w:color w:val="111827"/>
                <w:sz w:val="13"/>
              </w:rPr>
              <w:t>GEO-010</w:t>
            </w:r>
          </w:p>
        </w:tc>
        <w:tc>
          <w:tcPr>
            <w:tcW w:type="dxa" w:w="3408"/>
            <w:vAlign w:val="center"/>
            <w:shd w:fill="F3F4F6"/>
          </w:tcPr>
          <w:p>
            <w:pPr>
              <w:spacing w:after="0"/>
            </w:pPr>
            <w:r/>
            <w:r>
              <w:rPr>
                <w:rFonts w:ascii="Aptos" w:hAnsi="Aptos"/>
                <w:b w:val="0"/>
                <w:color w:val="111827"/>
                <w:sz w:val="13"/>
              </w:rPr>
              <w:t>Opposing forcings</w:t>
            </w:r>
          </w:p>
        </w:tc>
        <w:tc>
          <w:tcPr>
            <w:tcW w:type="dxa" w:w="3408"/>
            <w:vAlign w:val="center"/>
            <w:shd w:fill="F3F4F6"/>
          </w:tcPr>
          <w:p>
            <w:pPr>
              <w:spacing w:after="0"/>
            </w:pPr>
            <w:r/>
            <w:r>
              <w:rPr>
                <w:rFonts w:ascii="Aptos" w:hAnsi="Aptos"/>
                <w:b w:val="0"/>
                <w:color w:val="111827"/>
                <w:sz w:val="13"/>
              </w:rPr>
              <w:t>Apply opposing wind/slope vectors; no sign reversal or NaN.</w:t>
            </w:r>
          </w:p>
        </w:tc>
      </w:tr>
      <w:tr>
        <w:tc>
          <w:tcPr>
            <w:tcW w:type="dxa" w:w="3408"/>
            <w:vAlign w:val="center"/>
          </w:tcPr>
          <w:p>
            <w:pPr>
              <w:spacing w:after="0"/>
            </w:pPr>
            <w:r/>
            <w:r>
              <w:rPr>
                <w:rFonts w:ascii="Aptos" w:hAnsi="Aptos"/>
                <w:b w:val="0"/>
                <w:color w:val="111827"/>
                <w:sz w:val="13"/>
              </w:rPr>
              <w:t>GEO-011</w:t>
            </w:r>
          </w:p>
        </w:tc>
        <w:tc>
          <w:tcPr>
            <w:tcW w:type="dxa" w:w="3408"/>
            <w:vAlign w:val="center"/>
          </w:tcPr>
          <w:p>
            <w:pPr>
              <w:spacing w:after="0"/>
            </w:pPr>
            <w:r/>
            <w:r>
              <w:rPr>
                <w:rFonts w:ascii="Aptos" w:hAnsi="Aptos"/>
                <w:b w:val="0"/>
                <w:color w:val="111827"/>
                <w:sz w:val="13"/>
              </w:rPr>
              <w:t>Arrival ordering</w:t>
            </w:r>
          </w:p>
        </w:tc>
        <w:tc>
          <w:tcPr>
            <w:tcW w:type="dxa" w:w="3408"/>
            <w:vAlign w:val="center"/>
          </w:tcPr>
          <w:p>
            <w:pPr>
              <w:spacing w:after="0"/>
            </w:pPr>
            <w:r/>
            <w:r>
              <w:rPr>
                <w:rFonts w:ascii="Aptos" w:hAnsi="Aptos"/>
                <w:b w:val="0"/>
                <w:color w:val="111827"/>
                <w:sz w:val="13"/>
              </w:rPr>
              <w:t>Known small grid produces increasing arrival times along valid propagation path.</w:t>
            </w:r>
          </w:p>
        </w:tc>
      </w:tr>
      <w:tr>
        <w:tc>
          <w:tcPr>
            <w:tcW w:type="dxa" w:w="3408"/>
            <w:vAlign w:val="center"/>
            <w:shd w:fill="F3F4F6"/>
          </w:tcPr>
          <w:p>
            <w:pPr>
              <w:spacing w:after="0"/>
            </w:pPr>
            <w:r/>
            <w:r>
              <w:rPr>
                <w:rFonts w:ascii="Aptos" w:hAnsi="Aptos"/>
                <w:b w:val="0"/>
                <w:color w:val="111827"/>
                <w:sz w:val="13"/>
              </w:rPr>
              <w:t>GEO-012</w:t>
            </w:r>
          </w:p>
        </w:tc>
        <w:tc>
          <w:tcPr>
            <w:tcW w:type="dxa" w:w="3408"/>
            <w:vAlign w:val="center"/>
            <w:shd w:fill="F3F4F6"/>
          </w:tcPr>
          <w:p>
            <w:pPr>
              <w:spacing w:after="0"/>
            </w:pPr>
            <w:r/>
            <w:r>
              <w:rPr>
                <w:rFonts w:ascii="Aptos" w:hAnsi="Aptos"/>
                <w:b w:val="0"/>
                <w:color w:val="111827"/>
                <w:sz w:val="13"/>
              </w:rPr>
              <w:t>Footprint extraction</w:t>
            </w:r>
          </w:p>
        </w:tc>
        <w:tc>
          <w:tcPr>
            <w:tcW w:type="dxa" w:w="3408"/>
            <w:vAlign w:val="center"/>
            <w:shd w:fill="F3F4F6"/>
          </w:tcPr>
          <w:p>
            <w:pPr>
              <w:spacing w:after="0"/>
            </w:pPr>
            <w:r/>
            <w:r>
              <w:rPr>
                <w:rFonts w:ascii="Aptos" w:hAnsi="Aptos"/>
                <w:b w:val="0"/>
                <w:color w:val="111827"/>
                <w:sz w:val="13"/>
              </w:rPr>
              <w:t>At time t, footprint equals cells with T_a &lt;= t.</w:t>
            </w:r>
          </w:p>
        </w:tc>
      </w:tr>
      <w:tr>
        <w:tc>
          <w:tcPr>
            <w:tcW w:type="dxa" w:w="3408"/>
            <w:vAlign w:val="center"/>
          </w:tcPr>
          <w:p>
            <w:pPr>
              <w:spacing w:after="0"/>
            </w:pPr>
            <w:r/>
            <w:r>
              <w:rPr>
                <w:rFonts w:ascii="Aptos" w:hAnsi="Aptos"/>
                <w:b w:val="0"/>
                <w:color w:val="111827"/>
                <w:sz w:val="13"/>
              </w:rPr>
              <w:t>GEO-013</w:t>
            </w:r>
          </w:p>
        </w:tc>
        <w:tc>
          <w:tcPr>
            <w:tcW w:type="dxa" w:w="3408"/>
            <w:vAlign w:val="center"/>
          </w:tcPr>
          <w:p>
            <w:pPr>
              <w:spacing w:after="0"/>
            </w:pPr>
            <w:r/>
            <w:r>
              <w:rPr>
                <w:rFonts w:ascii="Aptos" w:hAnsi="Aptos"/>
                <w:b w:val="0"/>
                <w:color w:val="111827"/>
                <w:sz w:val="13"/>
              </w:rPr>
              <w:t>Projection extraction</w:t>
            </w:r>
          </w:p>
        </w:tc>
        <w:tc>
          <w:tcPr>
            <w:tcW w:type="dxa" w:w="3408"/>
            <w:vAlign w:val="center"/>
          </w:tcPr>
          <w:p>
            <w:pPr>
              <w:spacing w:after="0"/>
            </w:pPr>
            <w:r/>
            <w:r>
              <w:rPr>
                <w:rFonts w:ascii="Aptos" w:hAnsi="Aptos"/>
                <w:b w:val="0"/>
                <w:color w:val="111827"/>
                <w:sz w:val="13"/>
              </w:rPr>
              <w:t>Projection equals configured future threshold on same T_a field.</w:t>
            </w:r>
          </w:p>
        </w:tc>
      </w:tr>
      <w:tr>
        <w:tc>
          <w:tcPr>
            <w:tcW w:type="dxa" w:w="3408"/>
            <w:vAlign w:val="center"/>
            <w:shd w:fill="F3F4F6"/>
          </w:tcPr>
          <w:p>
            <w:pPr>
              <w:spacing w:after="0"/>
            </w:pPr>
            <w:r/>
            <w:r>
              <w:rPr>
                <w:rFonts w:ascii="Aptos" w:hAnsi="Aptos"/>
                <w:b w:val="0"/>
                <w:color w:val="111827"/>
                <w:sz w:val="13"/>
              </w:rPr>
              <w:t>GEO-014</w:t>
            </w:r>
          </w:p>
        </w:tc>
        <w:tc>
          <w:tcPr>
            <w:tcW w:type="dxa" w:w="3408"/>
            <w:vAlign w:val="center"/>
            <w:shd w:fill="F3F4F6"/>
          </w:tcPr>
          <w:p>
            <w:pPr>
              <w:spacing w:after="0"/>
            </w:pPr>
            <w:r/>
            <w:r>
              <w:rPr>
                <w:rFonts w:ascii="Aptos" w:hAnsi="Aptos"/>
                <w:b w:val="0"/>
                <w:color w:val="111827"/>
                <w:sz w:val="13"/>
              </w:rPr>
              <w:t>Replay consistency</w:t>
            </w:r>
          </w:p>
        </w:tc>
        <w:tc>
          <w:tcPr>
            <w:tcW w:type="dxa" w:w="3408"/>
            <w:vAlign w:val="center"/>
            <w:shd w:fill="F3F4F6"/>
          </w:tcPr>
          <w:p>
            <w:pPr>
              <w:spacing w:after="0"/>
            </w:pPr>
            <w:r/>
            <w:r>
              <w:rPr>
                <w:rFonts w:ascii="Aptos" w:hAnsi="Aptos"/>
                <w:b w:val="0"/>
                <w:color w:val="111827"/>
                <w:sz w:val="13"/>
              </w:rPr>
              <w:t>Changing time cursor produces same geometry as recomputing threshold on stored T_a.</w:t>
            </w:r>
          </w:p>
        </w:tc>
      </w:tr>
      <w:tr>
        <w:tc>
          <w:tcPr>
            <w:tcW w:type="dxa" w:w="3408"/>
            <w:vAlign w:val="center"/>
          </w:tcPr>
          <w:p>
            <w:pPr>
              <w:spacing w:after="0"/>
            </w:pPr>
            <w:r/>
            <w:r>
              <w:rPr>
                <w:rFonts w:ascii="Aptos" w:hAnsi="Aptos"/>
                <w:b w:val="0"/>
                <w:color w:val="111827"/>
                <w:sz w:val="13"/>
              </w:rPr>
              <w:t>GEO-015</w:t>
            </w:r>
          </w:p>
        </w:tc>
        <w:tc>
          <w:tcPr>
            <w:tcW w:type="dxa" w:w="3408"/>
            <w:vAlign w:val="center"/>
          </w:tcPr>
          <w:p>
            <w:pPr>
              <w:spacing w:after="0"/>
            </w:pPr>
            <w:r/>
            <w:r>
              <w:rPr>
                <w:rFonts w:ascii="Aptos" w:hAnsi="Aptos"/>
                <w:b w:val="0"/>
                <w:color w:val="111827"/>
                <w:sz w:val="13"/>
              </w:rPr>
              <w:t>Mid-run recompute</w:t>
            </w:r>
          </w:p>
        </w:tc>
        <w:tc>
          <w:tcPr>
            <w:tcW w:type="dxa" w:w="3408"/>
            <w:vAlign w:val="center"/>
          </w:tcPr>
          <w:p>
            <w:pPr>
              <w:spacing w:after="0"/>
            </w:pPr>
            <w:r/>
            <w:r>
              <w:rPr>
                <w:rFonts w:ascii="Aptos" w:hAnsi="Aptos"/>
                <w:b w:val="0"/>
                <w:color w:val="111827"/>
                <w:sz w:val="13"/>
              </w:rPr>
              <w:t>Change wind; future projection changes while historical state stays unchanged.</w:t>
            </w:r>
          </w:p>
        </w:tc>
      </w:tr>
      <w:tr>
        <w:tc>
          <w:tcPr>
            <w:tcW w:type="dxa" w:w="3408"/>
            <w:vAlign w:val="center"/>
            <w:shd w:fill="F3F4F6"/>
          </w:tcPr>
          <w:p>
            <w:pPr>
              <w:spacing w:after="0"/>
            </w:pPr>
            <w:r/>
            <w:r>
              <w:rPr>
                <w:rFonts w:ascii="Aptos" w:hAnsi="Aptos"/>
                <w:b w:val="0"/>
                <w:color w:val="111827"/>
                <w:sz w:val="13"/>
              </w:rPr>
              <w:t>GEO-016</w:t>
            </w:r>
          </w:p>
        </w:tc>
        <w:tc>
          <w:tcPr>
            <w:tcW w:type="dxa" w:w="3408"/>
            <w:vAlign w:val="center"/>
            <w:shd w:fill="F3F4F6"/>
          </w:tcPr>
          <w:p>
            <w:pPr>
              <w:spacing w:after="0"/>
            </w:pPr>
            <w:r/>
            <w:r>
              <w:rPr>
                <w:rFonts w:ascii="Aptos" w:hAnsi="Aptos"/>
                <w:b w:val="0"/>
                <w:color w:val="111827"/>
                <w:sz w:val="13"/>
              </w:rPr>
              <w:t>Boundary clip</w:t>
            </w:r>
          </w:p>
        </w:tc>
        <w:tc>
          <w:tcPr>
            <w:tcW w:type="dxa" w:w="3408"/>
            <w:vAlign w:val="center"/>
            <w:shd w:fill="F3F4F6"/>
          </w:tcPr>
          <w:p>
            <w:pPr>
              <w:spacing w:after="0"/>
            </w:pPr>
            <w:r/>
            <w:r>
              <w:rPr>
                <w:rFonts w:ascii="Aptos" w:hAnsi="Aptos"/>
                <w:b w:val="0"/>
                <w:color w:val="111827"/>
                <w:sz w:val="13"/>
              </w:rPr>
              <w:t>Fire reaching domain edge yields clipped geometry with explicit label.</w:t>
            </w:r>
          </w:p>
        </w:tc>
      </w:tr>
      <w:tr>
        <w:tc>
          <w:tcPr>
            <w:tcW w:type="dxa" w:w="3408"/>
            <w:vAlign w:val="center"/>
          </w:tcPr>
          <w:p>
            <w:pPr>
              <w:spacing w:after="0"/>
            </w:pPr>
            <w:r/>
            <w:r>
              <w:rPr>
                <w:rFonts w:ascii="Aptos" w:hAnsi="Aptos"/>
                <w:b w:val="0"/>
                <w:color w:val="111827"/>
                <w:sz w:val="13"/>
              </w:rPr>
              <w:t>GEO-017</w:t>
            </w:r>
          </w:p>
        </w:tc>
        <w:tc>
          <w:tcPr>
            <w:tcW w:type="dxa" w:w="3408"/>
            <w:vAlign w:val="center"/>
          </w:tcPr>
          <w:p>
            <w:pPr>
              <w:spacing w:after="0"/>
            </w:pPr>
            <w:r/>
            <w:r>
              <w:rPr>
                <w:rFonts w:ascii="Aptos" w:hAnsi="Aptos"/>
                <w:b w:val="0"/>
                <w:color w:val="111827"/>
                <w:sz w:val="13"/>
              </w:rPr>
              <w:t>MultiPolygon</w:t>
            </w:r>
          </w:p>
        </w:tc>
        <w:tc>
          <w:tcPr>
            <w:tcW w:type="dxa" w:w="3408"/>
            <w:vAlign w:val="center"/>
          </w:tcPr>
          <w:p>
            <w:pPr>
              <w:spacing w:after="0"/>
            </w:pPr>
            <w:r/>
            <w:r>
              <w:rPr>
                <w:rFonts w:ascii="Aptos" w:hAnsi="Aptos"/>
                <w:b w:val="0"/>
                <w:color w:val="111827"/>
                <w:sz w:val="13"/>
              </w:rPr>
              <w:t>Disconnected burnable regions yield MultiPolygon where appropriate.</w:t>
            </w:r>
          </w:p>
        </w:tc>
      </w:tr>
      <w:tr>
        <w:tc>
          <w:tcPr>
            <w:tcW w:type="dxa" w:w="3408"/>
            <w:vAlign w:val="center"/>
            <w:shd w:fill="F3F4F6"/>
          </w:tcPr>
          <w:p>
            <w:pPr>
              <w:spacing w:after="0"/>
            </w:pPr>
            <w:r/>
            <w:r>
              <w:rPr>
                <w:rFonts w:ascii="Aptos" w:hAnsi="Aptos"/>
                <w:b w:val="0"/>
                <w:color w:val="111827"/>
                <w:sz w:val="13"/>
              </w:rPr>
              <w:t>GEO-018</w:t>
            </w:r>
          </w:p>
        </w:tc>
        <w:tc>
          <w:tcPr>
            <w:tcW w:type="dxa" w:w="3408"/>
            <w:vAlign w:val="center"/>
            <w:shd w:fill="F3F4F6"/>
          </w:tcPr>
          <w:p>
            <w:pPr>
              <w:spacing w:after="0"/>
            </w:pPr>
            <w:r/>
            <w:r>
              <w:rPr>
                <w:rFonts w:ascii="Aptos" w:hAnsi="Aptos"/>
                <w:b w:val="0"/>
                <w:color w:val="111827"/>
                <w:sz w:val="13"/>
              </w:rPr>
              <w:t>Polygon validity</w:t>
            </w:r>
          </w:p>
        </w:tc>
        <w:tc>
          <w:tcPr>
            <w:tcW w:type="dxa" w:w="3408"/>
            <w:vAlign w:val="center"/>
            <w:shd w:fill="F3F4F6"/>
          </w:tcPr>
          <w:p>
            <w:pPr>
              <w:spacing w:after="0"/>
            </w:pPr>
            <w:r/>
            <w:r>
              <w:rPr>
                <w:rFonts w:ascii="Aptos" w:hAnsi="Aptos"/>
                <w:b w:val="0"/>
                <w:color w:val="111827"/>
                <w:sz w:val="13"/>
              </w:rPr>
              <w:t>All displayed output geometries pass validity test.</w:t>
            </w:r>
          </w:p>
        </w:tc>
      </w:tr>
      <w:tr>
        <w:tc>
          <w:tcPr>
            <w:tcW w:type="dxa" w:w="3408"/>
            <w:vAlign w:val="center"/>
          </w:tcPr>
          <w:p>
            <w:pPr>
              <w:spacing w:after="0"/>
            </w:pPr>
            <w:r/>
            <w:r>
              <w:rPr>
                <w:rFonts w:ascii="Aptos" w:hAnsi="Aptos"/>
                <w:b w:val="0"/>
                <w:color w:val="111827"/>
                <w:sz w:val="13"/>
              </w:rPr>
              <w:t>GEO-019</w:t>
            </w:r>
          </w:p>
        </w:tc>
        <w:tc>
          <w:tcPr>
            <w:tcW w:type="dxa" w:w="3408"/>
            <w:vAlign w:val="center"/>
          </w:tcPr>
          <w:p>
            <w:pPr>
              <w:spacing w:after="0"/>
            </w:pPr>
            <w:r/>
            <w:r>
              <w:rPr>
                <w:rFonts w:ascii="Aptos" w:hAnsi="Aptos"/>
                <w:b w:val="0"/>
                <w:color w:val="111827"/>
                <w:sz w:val="13"/>
              </w:rPr>
              <w:t>Projected CRS</w:t>
            </w:r>
          </w:p>
        </w:tc>
        <w:tc>
          <w:tcPr>
            <w:tcW w:type="dxa" w:w="3408"/>
            <w:vAlign w:val="center"/>
          </w:tcPr>
          <w:p>
            <w:pPr>
              <w:spacing w:after="0"/>
            </w:pPr>
            <w:r/>
            <w:r>
              <w:rPr>
                <w:rFonts w:ascii="Aptos" w:hAnsi="Aptos"/>
                <w:b w:val="0"/>
                <w:color w:val="111827"/>
                <w:sz w:val="13"/>
              </w:rPr>
              <w:t>Known metric test passes for distance/area/buffer.</w:t>
            </w:r>
          </w:p>
        </w:tc>
      </w:tr>
      <w:tr>
        <w:tc>
          <w:tcPr>
            <w:tcW w:type="dxa" w:w="3408"/>
            <w:vAlign w:val="center"/>
            <w:shd w:fill="F3F4F6"/>
          </w:tcPr>
          <w:p>
            <w:pPr>
              <w:spacing w:after="0"/>
            </w:pPr>
            <w:r/>
            <w:r>
              <w:rPr>
                <w:rFonts w:ascii="Aptos" w:hAnsi="Aptos"/>
                <w:b w:val="0"/>
                <w:color w:val="111827"/>
                <w:sz w:val="13"/>
              </w:rPr>
              <w:t>GEO-020</w:t>
            </w:r>
          </w:p>
        </w:tc>
        <w:tc>
          <w:tcPr>
            <w:tcW w:type="dxa" w:w="3408"/>
            <w:vAlign w:val="center"/>
            <w:shd w:fill="F3F4F6"/>
          </w:tcPr>
          <w:p>
            <w:pPr>
              <w:spacing w:after="0"/>
            </w:pPr>
            <w:r/>
            <w:r>
              <w:rPr>
                <w:rFonts w:ascii="Aptos" w:hAnsi="Aptos"/>
                <w:b w:val="0"/>
                <w:color w:val="111827"/>
                <w:sz w:val="13"/>
              </w:rPr>
              <w:t>Buffer separation</w:t>
            </w:r>
          </w:p>
        </w:tc>
        <w:tc>
          <w:tcPr>
            <w:tcW w:type="dxa" w:w="3408"/>
            <w:vAlign w:val="center"/>
            <w:shd w:fill="F3F4F6"/>
          </w:tcPr>
          <w:p>
            <w:pPr>
              <w:spacing w:after="0"/>
            </w:pPr>
            <w:r/>
            <w:r>
              <w:rPr>
                <w:rFonts w:ascii="Aptos" w:hAnsi="Aptos"/>
                <w:b w:val="0"/>
                <w:color w:val="111827"/>
                <w:sz w:val="13"/>
              </w:rPr>
              <w:t>Operational buffer differs geometrically and semantically from physical footprint.</w:t>
            </w:r>
          </w:p>
        </w:tc>
      </w:tr>
      <w:tr>
        <w:tc>
          <w:tcPr>
            <w:tcW w:type="dxa" w:w="3408"/>
            <w:vAlign w:val="center"/>
          </w:tcPr>
          <w:p>
            <w:pPr>
              <w:spacing w:after="0"/>
            </w:pPr>
            <w:r/>
            <w:r>
              <w:rPr>
                <w:rFonts w:ascii="Aptos" w:hAnsi="Aptos"/>
                <w:b w:val="0"/>
                <w:color w:val="111827"/>
                <w:sz w:val="13"/>
              </w:rPr>
              <w:t>GEO-021</w:t>
            </w:r>
          </w:p>
        </w:tc>
        <w:tc>
          <w:tcPr>
            <w:tcW w:type="dxa" w:w="3408"/>
            <w:vAlign w:val="center"/>
          </w:tcPr>
          <w:p>
            <w:pPr>
              <w:spacing w:after="0"/>
            </w:pPr>
            <w:r/>
            <w:r>
              <w:rPr>
                <w:rFonts w:ascii="Aptos" w:hAnsi="Aptos"/>
                <w:b w:val="0"/>
                <w:color w:val="111827"/>
                <w:sz w:val="13"/>
              </w:rPr>
              <w:t>Risk monotonicity</w:t>
            </w:r>
          </w:p>
        </w:tc>
        <w:tc>
          <w:tcPr>
            <w:tcW w:type="dxa" w:w="3408"/>
            <w:vAlign w:val="center"/>
          </w:tcPr>
          <w:p>
            <w:pPr>
              <w:spacing w:after="0"/>
            </w:pPr>
            <w:r/>
            <w:r>
              <w:rPr>
                <w:rFonts w:ascii="Aptos" w:hAnsi="Aptos"/>
                <w:b w:val="0"/>
                <w:color w:val="111827"/>
                <w:sz w:val="13"/>
              </w:rPr>
              <w:t>Earlier arrival, all else fixed, does not reduce urgency term.</w:t>
            </w:r>
          </w:p>
        </w:tc>
      </w:tr>
      <w:tr>
        <w:tc>
          <w:tcPr>
            <w:tcW w:type="dxa" w:w="3408"/>
            <w:vAlign w:val="center"/>
            <w:shd w:fill="F3F4F6"/>
          </w:tcPr>
          <w:p>
            <w:pPr>
              <w:spacing w:after="0"/>
            </w:pPr>
            <w:r/>
            <w:r>
              <w:rPr>
                <w:rFonts w:ascii="Aptos" w:hAnsi="Aptos"/>
                <w:b w:val="0"/>
                <w:color w:val="111827"/>
                <w:sz w:val="13"/>
              </w:rPr>
              <w:t>GEO-022</w:t>
            </w:r>
          </w:p>
        </w:tc>
        <w:tc>
          <w:tcPr>
            <w:tcW w:type="dxa" w:w="3408"/>
            <w:vAlign w:val="center"/>
            <w:shd w:fill="F3F4F6"/>
          </w:tcPr>
          <w:p>
            <w:pPr>
              <w:spacing w:after="0"/>
            </w:pPr>
            <w:r/>
            <w:r>
              <w:rPr>
                <w:rFonts w:ascii="Aptos" w:hAnsi="Aptos"/>
                <w:b w:val="0"/>
                <w:color w:val="111827"/>
                <w:sz w:val="13"/>
              </w:rPr>
              <w:t>Risk independence</w:t>
            </w:r>
          </w:p>
        </w:tc>
        <w:tc>
          <w:tcPr>
            <w:tcW w:type="dxa" w:w="3408"/>
            <w:vAlign w:val="center"/>
            <w:shd w:fill="F3F4F6"/>
          </w:tcPr>
          <w:p>
            <w:pPr>
              <w:spacing w:after="0"/>
            </w:pPr>
            <w:r/>
            <w:r>
              <w:rPr>
                <w:rFonts w:ascii="Aptos" w:hAnsi="Aptos"/>
                <w:b w:val="0"/>
                <w:color w:val="111827"/>
                <w:sz w:val="13"/>
              </w:rPr>
              <w:t>Population overlay does not change physical hazard risk surface.</w:t>
            </w:r>
          </w:p>
        </w:tc>
      </w:tr>
      <w:tr>
        <w:tc>
          <w:tcPr>
            <w:tcW w:type="dxa" w:w="3408"/>
            <w:vAlign w:val="center"/>
          </w:tcPr>
          <w:p>
            <w:pPr>
              <w:spacing w:after="0"/>
            </w:pPr>
            <w:r/>
            <w:r>
              <w:rPr>
                <w:rFonts w:ascii="Aptos" w:hAnsi="Aptos"/>
                <w:b w:val="0"/>
                <w:color w:val="111827"/>
                <w:sz w:val="13"/>
              </w:rPr>
              <w:t>GEO-023</w:t>
            </w:r>
          </w:p>
        </w:tc>
        <w:tc>
          <w:tcPr>
            <w:tcW w:type="dxa" w:w="3408"/>
            <w:vAlign w:val="center"/>
          </w:tcPr>
          <w:p>
            <w:pPr>
              <w:spacing w:after="0"/>
            </w:pPr>
            <w:r/>
            <w:r>
              <w:rPr>
                <w:rFonts w:ascii="Aptos" w:hAnsi="Aptos"/>
                <w:b w:val="0"/>
                <w:color w:val="111827"/>
                <w:sz w:val="13"/>
              </w:rPr>
              <w:t>No risk aggregation</w:t>
            </w:r>
          </w:p>
        </w:tc>
        <w:tc>
          <w:tcPr>
            <w:tcW w:type="dxa" w:w="3408"/>
            <w:vAlign w:val="center"/>
          </w:tcPr>
          <w:p>
            <w:pPr>
              <w:spacing w:after="0"/>
            </w:pPr>
            <w:r/>
            <w:r>
              <w:rPr>
                <w:rFonts w:ascii="Aptos" w:hAnsi="Aptos"/>
                <w:b w:val="0"/>
                <w:color w:val="111827"/>
                <w:sz w:val="13"/>
              </w:rPr>
              <w:t>Fire and flood surfaces remain separate outputs.</w:t>
            </w:r>
          </w:p>
        </w:tc>
      </w:tr>
      <w:tr>
        <w:tc>
          <w:tcPr>
            <w:tcW w:type="dxa" w:w="3408"/>
            <w:vAlign w:val="center"/>
            <w:shd w:fill="F3F4F6"/>
          </w:tcPr>
          <w:p>
            <w:pPr>
              <w:spacing w:after="0"/>
            </w:pPr>
            <w:r/>
            <w:r>
              <w:rPr>
                <w:rFonts w:ascii="Aptos" w:hAnsi="Aptos"/>
                <w:b w:val="0"/>
                <w:color w:val="111827"/>
                <w:sz w:val="13"/>
              </w:rPr>
              <w:t>GEO-024</w:t>
            </w:r>
          </w:p>
        </w:tc>
        <w:tc>
          <w:tcPr>
            <w:tcW w:type="dxa" w:w="3408"/>
            <w:vAlign w:val="center"/>
            <w:shd w:fill="F3F4F6"/>
          </w:tcPr>
          <w:p>
            <w:pPr>
              <w:spacing w:after="0"/>
            </w:pPr>
            <w:r/>
            <w:r>
              <w:rPr>
                <w:rFonts w:ascii="Aptos" w:hAnsi="Aptos"/>
                <w:b w:val="0"/>
                <w:color w:val="111827"/>
                <w:sz w:val="13"/>
              </w:rPr>
              <w:t>Missing wind labeling</w:t>
            </w:r>
          </w:p>
        </w:tc>
        <w:tc>
          <w:tcPr>
            <w:tcW w:type="dxa" w:w="3408"/>
            <w:vAlign w:val="center"/>
            <w:shd w:fill="F3F4F6"/>
          </w:tcPr>
          <w:p>
            <w:pPr>
              <w:spacing w:after="0"/>
            </w:pPr>
            <w:r/>
            <w:r>
              <w:rPr>
                <w:rFonts w:ascii="Aptos" w:hAnsi="Aptos"/>
                <w:b w:val="0"/>
                <w:color w:val="111827"/>
                <w:sz w:val="13"/>
              </w:rPr>
              <w:t>Withhold wind and verify explicit degraded assumption.</w:t>
            </w:r>
          </w:p>
        </w:tc>
      </w:tr>
      <w:tr>
        <w:tc>
          <w:tcPr>
            <w:tcW w:type="dxa" w:w="3408"/>
            <w:vAlign w:val="center"/>
          </w:tcPr>
          <w:p>
            <w:pPr>
              <w:spacing w:after="0"/>
            </w:pPr>
            <w:r/>
            <w:r>
              <w:rPr>
                <w:rFonts w:ascii="Aptos" w:hAnsi="Aptos"/>
                <w:b w:val="0"/>
                <w:color w:val="111827"/>
                <w:sz w:val="13"/>
              </w:rPr>
              <w:t>GEO-025</w:t>
            </w:r>
          </w:p>
        </w:tc>
        <w:tc>
          <w:tcPr>
            <w:tcW w:type="dxa" w:w="3408"/>
            <w:vAlign w:val="center"/>
          </w:tcPr>
          <w:p>
            <w:pPr>
              <w:spacing w:after="0"/>
            </w:pPr>
            <w:r/>
            <w:r>
              <w:rPr>
                <w:rFonts w:ascii="Aptos" w:hAnsi="Aptos"/>
                <w:b w:val="0"/>
                <w:color w:val="111827"/>
                <w:sz w:val="13"/>
              </w:rPr>
              <w:t>No silent fabricated data</w:t>
            </w:r>
          </w:p>
        </w:tc>
        <w:tc>
          <w:tcPr>
            <w:tcW w:type="dxa" w:w="3408"/>
            <w:vAlign w:val="center"/>
          </w:tcPr>
          <w:p>
            <w:pPr>
              <w:spacing w:after="0"/>
            </w:pPr>
            <w:r/>
            <w:r>
              <w:rPr>
                <w:rFonts w:ascii="Aptos" w:hAnsi="Aptos"/>
                <w:b w:val="0"/>
                <w:color w:val="111827"/>
                <w:sz w:val="13"/>
              </w:rPr>
              <w:t>Missing fuel/population/infrastructure never becomes an unlabelled numeric value.</w:t>
            </w:r>
          </w:p>
        </w:tc>
      </w:tr>
    </w:tbl>
    <w:p/>
    <w:p>
      <w:pPr>
        <w:pStyle w:val="Heading1"/>
      </w:pPr>
      <w:r>
        <w:t>27. Calibration &amp; Validation Strategy</w:t>
      </w:r>
    </w:p>
    <w:p>
      <w:pPr>
        <w:pStyle w:val="Heading2"/>
      </w:pPr>
      <w:r>
        <w:t>27.1 Fire sensing vs fire spread</w:t>
      </w:r>
    </w:p>
    <w:p>
      <w:r>
        <w:t>Sensor validation and fire-spread validation are related but distinct. Real controlled fire trials primarily calibrate the sensing/evidence pathway. Geospatial spread behavior is validated with controlled synthetic or empirical benchmark scenarios plus sensitivity tests.</w:t>
      </w:r>
    </w:p>
    <w:p>
      <w:pPr>
        <w:pStyle w:val="Heading2"/>
      </w:pPr>
      <w:r>
        <w:t>27.2 Calibration sequence</w:t>
      </w:r>
    </w:p>
    <w:p>
      <w:pPr>
        <w:pStyle w:val="ListNumber"/>
        <w:spacing w:after="40"/>
      </w:pPr>
      <w:r>
        <w:t>Lock final fuel class map and provenance for the demo region.</w:t>
      </w:r>
    </w:p>
    <w:p>
      <w:pPr>
        <w:pStyle w:val="ListNumber"/>
        <w:spacing w:after="40"/>
      </w:pPr>
      <w:r>
        <w:t>Establish baseline R0 values/behavior from declared sources or controlled calibration assumptions.</w:t>
      </w:r>
    </w:p>
    <w:p>
      <w:pPr>
        <w:pStyle w:val="ListNumber"/>
        <w:spacing w:after="40"/>
      </w:pPr>
      <w:r>
        <w:t>Establish moisture response calibration/parameter ranges.</w:t>
      </w:r>
    </w:p>
    <w:p>
      <w:pPr>
        <w:pStyle w:val="ListNumber"/>
        <w:spacing w:after="40"/>
      </w:pPr>
      <w:r>
        <w:t>Validate wind direction and speed response independently.</w:t>
      </w:r>
    </w:p>
    <w:p>
      <w:pPr>
        <w:pStyle w:val="ListNumber"/>
        <w:spacing w:after="40"/>
      </w:pPr>
      <w:r>
        <w:t>Validate slope response independently.</w:t>
      </w:r>
    </w:p>
    <w:p>
      <w:pPr>
        <w:pStyle w:val="ListNumber"/>
        <w:spacing w:after="40"/>
      </w:pPr>
      <w:r>
        <w:t>Validate combined wind+slope behavior.</w:t>
      </w:r>
    </w:p>
    <w:p>
      <w:pPr>
        <w:pStyle w:val="ListNumber"/>
        <w:spacing w:after="40"/>
      </w:pPr>
      <w:r>
        <w:t>Validate heterogeneous fuel behavior.</w:t>
      </w:r>
    </w:p>
    <w:p>
      <w:pPr>
        <w:pStyle w:val="ListNumber"/>
        <w:spacing w:after="40"/>
      </w:pPr>
      <w:r>
        <w:t>Validate barriers and geometry.</w:t>
      </w:r>
    </w:p>
    <w:p>
      <w:pPr>
        <w:pStyle w:val="ListNumber"/>
        <w:spacing w:after="40"/>
      </w:pPr>
      <w:r>
        <w:t>Benchmark runtime on the actual Master/cloud target.</w:t>
      </w:r>
    </w:p>
    <w:p>
      <w:pPr>
        <w:pStyle w:val="Heading2"/>
      </w:pPr>
      <w:r>
        <w:t>27.3 No pseudo-accuracy</w:t>
      </w:r>
    </w:p>
    <w:p>
      <w:r>
        <w:t>Do not report a single 'fire spread accuracy = 94%' unless a scientifically appropriate validation protocol and reference observations support that statement. For SIH, report model assumptions, sensitivity tests, controlled validation observations, and measured runtime.</w:t>
      </w:r>
    </w:p>
    <w:p>
      <w:pPr>
        <w:pStyle w:val="Heading2"/>
      </w:pPr>
      <w:r>
        <w:t>27.4 Reference-image/video visual quality</w:t>
      </w:r>
    </w:p>
    <w:p>
      <w:r>
        <w:t>The physics engine and visualization polish are separate acceptance dimensions. A smooth UI cannot compensate for incorrect physics, and correct physics can be visually polished independently. Any reference video comparison must therefore be assessed on (a) physical behavior, (b) geospatial geometry, (c) temporal evolution, and (d) rendering quality.</w:t>
      </w:r>
    </w:p>
    <w:p>
      <w:pPr>
        <w:pStyle w:val="Heading1"/>
      </w:pPr>
      <w:r>
        <w:t>28. Performance &amp; Runtime</w:t>
      </w:r>
    </w:p>
    <w:p>
      <w:pPr>
        <w:pStyle w:val="Heading2"/>
      </w:pPr>
      <w:r>
        <w:t>28.1 Compute target</w:t>
      </w:r>
    </w:p>
    <w:p>
      <w:r>
        <w:t>The spread engine runs on Raspberry Pi/cloud-class compute, not on ESP32. The first benchmark target is the actual Raspberry Pi hardware intended for the demo.</w:t>
      </w:r>
    </w:p>
    <w:p>
      <w:pPr>
        <w:pStyle w:val="Heading2"/>
      </w:pPr>
      <w:r>
        <w:t>28.2 Metrics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Metric</w:t>
            </w:r>
          </w:p>
        </w:tc>
        <w:tc>
          <w:tcPr>
            <w:tcW w:type="dxa" w:w="5112"/>
            <w:vAlign w:val="center"/>
            <w:shd w:fill="0B5A75"/>
          </w:tcPr>
          <w:p>
            <w:pPr>
              <w:spacing w:after="0"/>
            </w:pPr>
            <w:r/>
            <w:r>
              <w:rPr>
                <w:rFonts w:ascii="Aptos" w:hAnsi="Aptos"/>
                <w:b/>
                <w:color w:val="FFFFFF"/>
                <w:sz w:val="15"/>
              </w:rPr>
              <w:t>Definition</w:t>
            </w:r>
          </w:p>
        </w:tc>
      </w:tr>
      <w:tr>
        <w:tc>
          <w:tcPr>
            <w:tcW w:type="dxa" w:w="5112"/>
            <w:vAlign w:val="center"/>
          </w:tcPr>
          <w:p>
            <w:pPr>
              <w:spacing w:after="0"/>
            </w:pPr>
            <w:r/>
            <w:r>
              <w:rPr>
                <w:rFonts w:ascii="Aptos" w:hAnsi="Aptos"/>
                <w:b w:val="0"/>
                <w:color w:val="111827"/>
                <w:sz w:val="15"/>
              </w:rPr>
              <w:t>Grid size</w:t>
            </w:r>
          </w:p>
        </w:tc>
        <w:tc>
          <w:tcPr>
            <w:tcW w:type="dxa" w:w="5112"/>
            <w:vAlign w:val="center"/>
          </w:tcPr>
          <w:p>
            <w:pPr>
              <w:spacing w:after="0"/>
            </w:pPr>
            <w:r/>
            <w:r>
              <w:rPr>
                <w:rFonts w:ascii="Aptos" w:hAnsi="Aptos"/>
                <w:b w:val="0"/>
                <w:color w:val="111827"/>
                <w:sz w:val="15"/>
              </w:rPr>
              <w:t>Rows × columns.</w:t>
            </w:r>
          </w:p>
        </w:tc>
      </w:tr>
      <w:tr>
        <w:tc>
          <w:tcPr>
            <w:tcW w:type="dxa" w:w="5112"/>
            <w:vAlign w:val="center"/>
            <w:shd w:fill="F3F4F6"/>
          </w:tcPr>
          <w:p>
            <w:pPr>
              <w:spacing w:after="0"/>
            </w:pPr>
            <w:r/>
            <w:r>
              <w:rPr>
                <w:rFonts w:ascii="Aptos" w:hAnsi="Aptos"/>
                <w:b w:val="0"/>
                <w:color w:val="111827"/>
                <w:sz w:val="15"/>
              </w:rPr>
              <w:t>Cells evaluated</w:t>
            </w:r>
          </w:p>
        </w:tc>
        <w:tc>
          <w:tcPr>
            <w:tcW w:type="dxa" w:w="5112"/>
            <w:vAlign w:val="center"/>
            <w:shd w:fill="F3F4F6"/>
          </w:tcPr>
          <w:p>
            <w:pPr>
              <w:spacing w:after="0"/>
            </w:pPr>
            <w:r/>
            <w:r>
              <w:rPr>
                <w:rFonts w:ascii="Aptos" w:hAnsi="Aptos"/>
                <w:b w:val="0"/>
                <w:color w:val="111827"/>
                <w:sz w:val="15"/>
              </w:rPr>
              <w:t>Number of cells popped/relaxed or otherwise processed.</w:t>
            </w:r>
          </w:p>
        </w:tc>
      </w:tr>
      <w:tr>
        <w:tc>
          <w:tcPr>
            <w:tcW w:type="dxa" w:w="5112"/>
            <w:vAlign w:val="center"/>
          </w:tcPr>
          <w:p>
            <w:pPr>
              <w:spacing w:after="0"/>
            </w:pPr>
            <w:r/>
            <w:r>
              <w:rPr>
                <w:rFonts w:ascii="Aptos" w:hAnsi="Aptos"/>
                <w:b w:val="0"/>
                <w:color w:val="111827"/>
                <w:sz w:val="15"/>
              </w:rPr>
              <w:t>Queue operations</w:t>
            </w:r>
          </w:p>
        </w:tc>
        <w:tc>
          <w:tcPr>
            <w:tcW w:type="dxa" w:w="5112"/>
            <w:vAlign w:val="center"/>
          </w:tcPr>
          <w:p>
            <w:pPr>
              <w:spacing w:after="0"/>
            </w:pPr>
            <w:r/>
            <w:r>
              <w:rPr>
                <w:rFonts w:ascii="Aptos" w:hAnsi="Aptos"/>
                <w:b w:val="0"/>
                <w:color w:val="111827"/>
                <w:sz w:val="15"/>
              </w:rPr>
              <w:t>Push/pop count.</w:t>
            </w:r>
          </w:p>
        </w:tc>
      </w:tr>
      <w:tr>
        <w:tc>
          <w:tcPr>
            <w:tcW w:type="dxa" w:w="5112"/>
            <w:vAlign w:val="center"/>
            <w:shd w:fill="F3F4F6"/>
          </w:tcPr>
          <w:p>
            <w:pPr>
              <w:spacing w:after="0"/>
            </w:pPr>
            <w:r/>
            <w:r>
              <w:rPr>
                <w:rFonts w:ascii="Aptos" w:hAnsi="Aptos"/>
                <w:b w:val="0"/>
                <w:color w:val="111827"/>
                <w:sz w:val="15"/>
              </w:rPr>
              <w:t>Wall time</w:t>
            </w:r>
          </w:p>
        </w:tc>
        <w:tc>
          <w:tcPr>
            <w:tcW w:type="dxa" w:w="5112"/>
            <w:vAlign w:val="center"/>
            <w:shd w:fill="F3F4F6"/>
          </w:tcPr>
          <w:p>
            <w:pPr>
              <w:spacing w:after="0"/>
            </w:pPr>
            <w:r/>
            <w:r>
              <w:rPr>
                <w:rFonts w:ascii="Aptos" w:hAnsi="Aptos"/>
                <w:b w:val="0"/>
                <w:color w:val="111827"/>
                <w:sz w:val="15"/>
              </w:rPr>
              <w:t>Simulation runtime.</w:t>
            </w:r>
          </w:p>
        </w:tc>
      </w:tr>
      <w:tr>
        <w:tc>
          <w:tcPr>
            <w:tcW w:type="dxa" w:w="5112"/>
            <w:vAlign w:val="center"/>
          </w:tcPr>
          <w:p>
            <w:pPr>
              <w:spacing w:after="0"/>
            </w:pPr>
            <w:r/>
            <w:r>
              <w:rPr>
                <w:rFonts w:ascii="Aptos" w:hAnsi="Aptos"/>
                <w:b w:val="0"/>
                <w:color w:val="111827"/>
                <w:sz w:val="15"/>
              </w:rPr>
              <w:t>Memory peak</w:t>
            </w:r>
          </w:p>
        </w:tc>
        <w:tc>
          <w:tcPr>
            <w:tcW w:type="dxa" w:w="5112"/>
            <w:vAlign w:val="center"/>
          </w:tcPr>
          <w:p>
            <w:pPr>
              <w:spacing w:after="0"/>
            </w:pPr>
            <w:r/>
            <w:r>
              <w:rPr>
                <w:rFonts w:ascii="Aptos" w:hAnsi="Aptos"/>
                <w:b w:val="0"/>
                <w:color w:val="111827"/>
                <w:sz w:val="15"/>
              </w:rPr>
              <w:t>Maximum RAM used by raster/queue/geometry.</w:t>
            </w:r>
          </w:p>
        </w:tc>
      </w:tr>
      <w:tr>
        <w:tc>
          <w:tcPr>
            <w:tcW w:type="dxa" w:w="5112"/>
            <w:vAlign w:val="center"/>
            <w:shd w:fill="F3F4F6"/>
          </w:tcPr>
          <w:p>
            <w:pPr>
              <w:spacing w:after="0"/>
            </w:pPr>
            <w:r/>
            <w:r>
              <w:rPr>
                <w:rFonts w:ascii="Aptos" w:hAnsi="Aptos"/>
                <w:b w:val="0"/>
                <w:color w:val="111827"/>
                <w:sz w:val="15"/>
              </w:rPr>
              <w:t>Polygonization time</w:t>
            </w:r>
          </w:p>
        </w:tc>
        <w:tc>
          <w:tcPr>
            <w:tcW w:type="dxa" w:w="5112"/>
            <w:vAlign w:val="center"/>
            <w:shd w:fill="F3F4F6"/>
          </w:tcPr>
          <w:p>
            <w:pPr>
              <w:spacing w:after="0"/>
            </w:pPr>
            <w:r/>
            <w:r>
              <w:rPr>
                <w:rFonts w:ascii="Aptos" w:hAnsi="Aptos"/>
                <w:b w:val="0"/>
                <w:color w:val="111827"/>
                <w:sz w:val="15"/>
              </w:rPr>
              <w:t>Time from mask to valid geometry.</w:t>
            </w:r>
          </w:p>
        </w:tc>
      </w:tr>
      <w:tr>
        <w:tc>
          <w:tcPr>
            <w:tcW w:type="dxa" w:w="5112"/>
            <w:vAlign w:val="center"/>
          </w:tcPr>
          <w:p>
            <w:pPr>
              <w:spacing w:after="0"/>
            </w:pPr>
            <w:r/>
            <w:r>
              <w:rPr>
                <w:rFonts w:ascii="Aptos" w:hAnsi="Aptos"/>
                <w:b w:val="0"/>
                <w:color w:val="111827"/>
                <w:sz w:val="15"/>
              </w:rPr>
              <w:t>Risk surface time</w:t>
            </w:r>
          </w:p>
        </w:tc>
        <w:tc>
          <w:tcPr>
            <w:tcW w:type="dxa" w:w="5112"/>
            <w:vAlign w:val="center"/>
          </w:tcPr>
          <w:p>
            <w:pPr>
              <w:spacing w:after="0"/>
            </w:pPr>
            <w:r/>
            <w:r>
              <w:rPr>
                <w:rFonts w:ascii="Aptos" w:hAnsi="Aptos"/>
                <w:b w:val="0"/>
                <w:color w:val="111827"/>
                <w:sz w:val="15"/>
              </w:rPr>
              <w:t>Time to compute hazard risk raster.</w:t>
            </w:r>
          </w:p>
        </w:tc>
      </w:tr>
      <w:tr>
        <w:tc>
          <w:tcPr>
            <w:tcW w:type="dxa" w:w="5112"/>
            <w:vAlign w:val="center"/>
            <w:shd w:fill="F3F4F6"/>
          </w:tcPr>
          <w:p>
            <w:pPr>
              <w:spacing w:after="0"/>
            </w:pPr>
            <w:r/>
            <w:r>
              <w:rPr>
                <w:rFonts w:ascii="Aptos" w:hAnsi="Aptos"/>
                <w:b w:val="0"/>
                <w:color w:val="111827"/>
                <w:sz w:val="15"/>
              </w:rPr>
              <w:t>End-to-end update</w:t>
            </w:r>
          </w:p>
        </w:tc>
        <w:tc>
          <w:tcPr>
            <w:tcW w:type="dxa" w:w="5112"/>
            <w:vAlign w:val="center"/>
            <w:shd w:fill="F3F4F6"/>
          </w:tcPr>
          <w:p>
            <w:pPr>
              <w:spacing w:after="0"/>
            </w:pPr>
            <w:r/>
            <w:r>
              <w:rPr>
                <w:rFonts w:ascii="Aptos" w:hAnsi="Aptos"/>
                <w:b w:val="0"/>
                <w:color w:val="111827"/>
                <w:sz w:val="15"/>
              </w:rPr>
              <w:t>Incident update to dashboard render.</w:t>
            </w:r>
          </w:p>
        </w:tc>
      </w:tr>
    </w:tbl>
    <w:p/>
    <w:p>
      <w:pPr>
        <w:pStyle w:val="Heading2"/>
      </w:pPr>
      <w:r>
        <w:t>28.3 Performance optimization order</w:t>
      </w:r>
    </w:p>
    <w:p>
      <w:pPr>
        <w:pStyle w:val="ListBullet"/>
        <w:spacing w:after="40"/>
      </w:pPr>
      <w:r>
        <w:t>Use efficient numeric arrays rather than Python object-per-cell loops where possible.</w:t>
      </w:r>
    </w:p>
    <w:p>
      <w:pPr>
        <w:pStyle w:val="ListBullet"/>
        <w:spacing w:after="40"/>
      </w:pPr>
      <w:r>
        <w:t>Keep priority queue implementation efficient.</w:t>
      </w:r>
    </w:p>
    <w:p>
      <w:pPr>
        <w:pStyle w:val="ListBullet"/>
        <w:spacing w:after="40"/>
      </w:pPr>
      <w:r>
        <w:t>Limit simulation domain to required geospatial extent.</w:t>
      </w:r>
    </w:p>
    <w:p>
      <w:pPr>
        <w:pStyle w:val="ListBullet"/>
        <w:spacing w:after="40"/>
      </w:pPr>
      <w:r>
        <w:t>Avoid recomputing immutable terrain/fuel preprocessing on every update.</w:t>
      </w:r>
    </w:p>
    <w:p>
      <w:pPr>
        <w:pStyle w:val="ListBullet"/>
        <w:spacing w:after="40"/>
      </w:pPr>
      <w:r>
        <w:t>Cache DEM/fuel transforms and display-ready data.</w:t>
      </w:r>
    </w:p>
    <w:p>
      <w:pPr>
        <w:pStyle w:val="ListBullet"/>
        <w:spacing w:after="40"/>
      </w:pPr>
      <w:r>
        <w:t>Regenerate future wavefront only when material input changes.</w:t>
      </w:r>
    </w:p>
    <w:p>
      <w:pPr>
        <w:pStyle w:val="ListBullet"/>
        <w:spacing w:after="40"/>
      </w:pPr>
      <w:r>
        <w:t>Optimize polygonization only after correctness is proven.</w:t>
      </w:r>
    </w:p>
    <w:p>
      <w:pPr>
        <w:pStyle w:val="Heading1"/>
      </w:pPr>
      <w:r>
        <w:t>29. Storage &amp; Provenance</w:t>
      </w:r>
    </w:p>
    <w:p>
      <w:pPr>
        <w:pStyle w:val="Heading2"/>
      </w:pPr>
      <w:r>
        <w:t>29.1 Required persisted metadata</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Artifact</w:t>
            </w:r>
          </w:p>
        </w:tc>
        <w:tc>
          <w:tcPr>
            <w:tcW w:type="dxa" w:w="5112"/>
            <w:vAlign w:val="center"/>
            <w:shd w:fill="0B5A75"/>
          </w:tcPr>
          <w:p>
            <w:pPr>
              <w:spacing w:after="0"/>
            </w:pPr>
            <w:r/>
            <w:r>
              <w:rPr>
                <w:rFonts w:ascii="Aptos" w:hAnsi="Aptos"/>
                <w:b/>
                <w:color w:val="FFFFFF"/>
                <w:sz w:val="15"/>
              </w:rPr>
              <w:t>Persist</w:t>
            </w:r>
          </w:p>
        </w:tc>
      </w:tr>
      <w:tr>
        <w:tc>
          <w:tcPr>
            <w:tcW w:type="dxa" w:w="5112"/>
            <w:vAlign w:val="center"/>
          </w:tcPr>
          <w:p>
            <w:pPr>
              <w:spacing w:after="0"/>
            </w:pPr>
            <w:r/>
            <w:r>
              <w:rPr>
                <w:rFonts w:ascii="Aptos" w:hAnsi="Aptos"/>
                <w:b w:val="0"/>
                <w:color w:val="111827"/>
                <w:sz w:val="15"/>
              </w:rPr>
              <w:t>Spread run</w:t>
            </w:r>
          </w:p>
        </w:tc>
        <w:tc>
          <w:tcPr>
            <w:tcW w:type="dxa" w:w="5112"/>
            <w:vAlign w:val="center"/>
          </w:tcPr>
          <w:p>
            <w:pPr>
              <w:spacing w:after="0"/>
            </w:pPr>
            <w:r/>
            <w:r>
              <w:rPr>
                <w:rFonts w:ascii="Aptos" w:hAnsi="Aptos"/>
                <w:b w:val="0"/>
                <w:color w:val="111827"/>
                <w:sz w:val="15"/>
              </w:rPr>
              <w:t>incident_id, run_id, timestamps, mode, parameter-set ID, domain, CRS.</w:t>
            </w:r>
          </w:p>
        </w:tc>
      </w:tr>
      <w:tr>
        <w:tc>
          <w:tcPr>
            <w:tcW w:type="dxa" w:w="5112"/>
            <w:vAlign w:val="center"/>
            <w:shd w:fill="F3F4F6"/>
          </w:tcPr>
          <w:p>
            <w:pPr>
              <w:spacing w:after="0"/>
            </w:pPr>
            <w:r/>
            <w:r>
              <w:rPr>
                <w:rFonts w:ascii="Aptos" w:hAnsi="Aptos"/>
                <w:b w:val="0"/>
                <w:color w:val="111827"/>
                <w:sz w:val="15"/>
              </w:rPr>
              <w:t>Environmental context</w:t>
            </w:r>
          </w:p>
        </w:tc>
        <w:tc>
          <w:tcPr>
            <w:tcW w:type="dxa" w:w="5112"/>
            <w:vAlign w:val="center"/>
            <w:shd w:fill="F3F4F6"/>
          </w:tcPr>
          <w:p>
            <w:pPr>
              <w:spacing w:after="0"/>
            </w:pPr>
            <w:r/>
            <w:r>
              <w:rPr>
                <w:rFonts w:ascii="Aptos" w:hAnsi="Aptos"/>
                <w:b w:val="0"/>
                <w:color w:val="111827"/>
                <w:sz w:val="15"/>
              </w:rPr>
              <w:t>wind, moisture, temperature/context inputs used by run.</w:t>
            </w:r>
          </w:p>
        </w:tc>
      </w:tr>
      <w:tr>
        <w:tc>
          <w:tcPr>
            <w:tcW w:type="dxa" w:w="5112"/>
            <w:vAlign w:val="center"/>
          </w:tcPr>
          <w:p>
            <w:pPr>
              <w:spacing w:after="0"/>
            </w:pPr>
            <w:r/>
            <w:r>
              <w:rPr>
                <w:rFonts w:ascii="Aptos" w:hAnsi="Aptos"/>
                <w:b w:val="0"/>
                <w:color w:val="111827"/>
                <w:sz w:val="15"/>
              </w:rPr>
              <w:t>Terrain</w:t>
            </w:r>
          </w:p>
        </w:tc>
        <w:tc>
          <w:tcPr>
            <w:tcW w:type="dxa" w:w="5112"/>
            <w:vAlign w:val="center"/>
          </w:tcPr>
          <w:p>
            <w:pPr>
              <w:spacing w:after="0"/>
            </w:pPr>
            <w:r/>
            <w:r>
              <w:rPr>
                <w:rFonts w:ascii="Aptos" w:hAnsi="Aptos"/>
                <w:b w:val="0"/>
                <w:color w:val="111827"/>
                <w:sz w:val="15"/>
              </w:rPr>
              <w:t>dataset ID/version, CRS, preprocessing version.</w:t>
            </w:r>
          </w:p>
        </w:tc>
      </w:tr>
      <w:tr>
        <w:tc>
          <w:tcPr>
            <w:tcW w:type="dxa" w:w="5112"/>
            <w:vAlign w:val="center"/>
            <w:shd w:fill="F3F4F6"/>
          </w:tcPr>
          <w:p>
            <w:pPr>
              <w:spacing w:after="0"/>
            </w:pPr>
            <w:r/>
            <w:r>
              <w:rPr>
                <w:rFonts w:ascii="Aptos" w:hAnsi="Aptos"/>
                <w:b w:val="0"/>
                <w:color w:val="111827"/>
                <w:sz w:val="15"/>
              </w:rPr>
              <w:t>Fuel</w:t>
            </w:r>
          </w:p>
        </w:tc>
        <w:tc>
          <w:tcPr>
            <w:tcW w:type="dxa" w:w="5112"/>
            <w:vAlign w:val="center"/>
            <w:shd w:fill="F3F4F6"/>
          </w:tcPr>
          <w:p>
            <w:pPr>
              <w:spacing w:after="0"/>
            </w:pPr>
            <w:r/>
            <w:r>
              <w:rPr>
                <w:rFonts w:ascii="Aptos" w:hAnsi="Aptos"/>
                <w:b w:val="0"/>
                <w:color w:val="111827"/>
                <w:sz w:val="15"/>
              </w:rPr>
              <w:t>dataset/config ID, version/provenance, classification status.</w:t>
            </w:r>
          </w:p>
        </w:tc>
      </w:tr>
      <w:tr>
        <w:tc>
          <w:tcPr>
            <w:tcW w:type="dxa" w:w="5112"/>
            <w:vAlign w:val="center"/>
          </w:tcPr>
          <w:p>
            <w:pPr>
              <w:spacing w:after="0"/>
            </w:pPr>
            <w:r/>
            <w:r>
              <w:rPr>
                <w:rFonts w:ascii="Aptos" w:hAnsi="Aptos"/>
                <w:b w:val="0"/>
                <w:color w:val="111827"/>
                <w:sz w:val="15"/>
              </w:rPr>
              <w:t>Arrival field</w:t>
            </w:r>
          </w:p>
        </w:tc>
        <w:tc>
          <w:tcPr>
            <w:tcW w:type="dxa" w:w="5112"/>
            <w:vAlign w:val="center"/>
          </w:tcPr>
          <w:p>
            <w:pPr>
              <w:spacing w:after="0"/>
            </w:pPr>
            <w:r/>
            <w:r>
              <w:rPr>
                <w:rFonts w:ascii="Aptos" w:hAnsi="Aptos"/>
                <w:b w:val="0"/>
                <w:color w:val="111827"/>
                <w:sz w:val="15"/>
              </w:rPr>
              <w:t>file/reference ID, transform, resolution, source run.</w:t>
            </w:r>
          </w:p>
        </w:tc>
      </w:tr>
      <w:tr>
        <w:tc>
          <w:tcPr>
            <w:tcW w:type="dxa" w:w="5112"/>
            <w:vAlign w:val="center"/>
            <w:shd w:fill="F3F4F6"/>
          </w:tcPr>
          <w:p>
            <w:pPr>
              <w:spacing w:after="0"/>
            </w:pPr>
            <w:r/>
            <w:r>
              <w:rPr>
                <w:rFonts w:ascii="Aptos" w:hAnsi="Aptos"/>
                <w:b w:val="0"/>
                <w:color w:val="111827"/>
                <w:sz w:val="15"/>
              </w:rPr>
              <w:t>Geometry</w:t>
            </w:r>
          </w:p>
        </w:tc>
        <w:tc>
          <w:tcPr>
            <w:tcW w:type="dxa" w:w="5112"/>
            <w:vAlign w:val="center"/>
            <w:shd w:fill="F3F4F6"/>
          </w:tcPr>
          <w:p>
            <w:pPr>
              <w:spacing w:after="0"/>
            </w:pPr>
            <w:r/>
            <w:r>
              <w:rPr>
                <w:rFonts w:ascii="Aptos" w:hAnsi="Aptos"/>
                <w:b w:val="0"/>
                <w:color w:val="111827"/>
                <w:sz w:val="15"/>
              </w:rPr>
              <w:t>geometry version, source arrival run, generated timestamp.</w:t>
            </w:r>
          </w:p>
        </w:tc>
      </w:tr>
      <w:tr>
        <w:tc>
          <w:tcPr>
            <w:tcW w:type="dxa" w:w="5112"/>
            <w:vAlign w:val="center"/>
          </w:tcPr>
          <w:p>
            <w:pPr>
              <w:spacing w:after="0"/>
            </w:pPr>
            <w:r/>
            <w:r>
              <w:rPr>
                <w:rFonts w:ascii="Aptos" w:hAnsi="Aptos"/>
                <w:b w:val="0"/>
                <w:color w:val="111827"/>
                <w:sz w:val="15"/>
              </w:rPr>
              <w:t>Risk surface</w:t>
            </w:r>
          </w:p>
        </w:tc>
        <w:tc>
          <w:tcPr>
            <w:tcW w:type="dxa" w:w="5112"/>
            <w:vAlign w:val="center"/>
          </w:tcPr>
          <w:p>
            <w:pPr>
              <w:spacing w:after="0"/>
            </w:pPr>
            <w:r/>
            <w:r>
              <w:rPr>
                <w:rFonts w:ascii="Aptos" w:hAnsi="Aptos"/>
                <w:b w:val="0"/>
                <w:color w:val="111827"/>
                <w:sz w:val="15"/>
              </w:rPr>
              <w:t>formula/config version, source arrival run.</w:t>
            </w:r>
          </w:p>
        </w:tc>
      </w:tr>
      <w:tr>
        <w:tc>
          <w:tcPr>
            <w:tcW w:type="dxa" w:w="5112"/>
            <w:vAlign w:val="center"/>
            <w:shd w:fill="F3F4F6"/>
          </w:tcPr>
          <w:p>
            <w:pPr>
              <w:spacing w:after="0"/>
            </w:pPr>
            <w:r/>
            <w:r>
              <w:rPr>
                <w:rFonts w:ascii="Aptos" w:hAnsi="Aptos"/>
                <w:b w:val="0"/>
                <w:color w:val="111827"/>
                <w:sz w:val="15"/>
              </w:rPr>
              <w:t>Assumptions</w:t>
            </w:r>
          </w:p>
        </w:tc>
        <w:tc>
          <w:tcPr>
            <w:tcW w:type="dxa" w:w="5112"/>
            <w:vAlign w:val="center"/>
            <w:shd w:fill="F3F4F6"/>
          </w:tcPr>
          <w:p>
            <w:pPr>
              <w:spacing w:after="0"/>
            </w:pPr>
            <w:r/>
            <w:r>
              <w:rPr>
                <w:rFonts w:ascii="Aptos" w:hAnsi="Aptos"/>
                <w:b w:val="0"/>
                <w:color w:val="111827"/>
                <w:sz w:val="15"/>
              </w:rPr>
              <w:t>human-readable list of fallbacks/limitations active during run.</w:t>
            </w:r>
          </w:p>
        </w:tc>
      </w:tr>
    </w:tbl>
    <w:p/>
    <w:p>
      <w:pPr>
        <w:pStyle w:val="Heading2"/>
      </w:pPr>
      <w:r>
        <w:t>29.2 Reproducibility</w:t>
      </w:r>
    </w:p>
    <w:p>
      <w:r>
        <w:t>Given the same immutable inputs, configuration and model version, a spread run should be reproducible to the defined numerical tolerance. Store enough metadata to reconstruct that condition.</w:t>
      </w:r>
    </w:p>
    <w:p>
      <w:pPr>
        <w:pStyle w:val="Heading1"/>
      </w:pPr>
      <w:r>
        <w:t>30. Recommended Software Module Structure</w:t>
      </w:r>
    </w:p>
    <w:p>
      <w:pPr>
        <w:pStyle w:val="CodeBlock"/>
        <w:shd w:fill="F8FAFC"/>
      </w:pPr>
      <w:r>
        <w:t>geospatial/</w:t>
        <w:br/>
        <w:t xml:space="preserve">  fire_spread/</w:t>
        <w:br/>
        <w:t xml:space="preserve">    domain.py</w:t>
        <w:br/>
        <w:t xml:space="preserve">    grid.py</w:t>
        <w:br/>
        <w:t xml:space="preserve">    wind.py</w:t>
        <w:br/>
        <w:t xml:space="preserve">    terrain.py</w:t>
        <w:br/>
        <w:t xml:space="preserve">    fuel.py</w:t>
        <w:br/>
        <w:t xml:space="preserve">    moisture.py</w:t>
        <w:br/>
        <w:t xml:space="preserve">    ros.py</w:t>
        <w:br/>
        <w:t xml:space="preserve">    propagation.py</w:t>
        <w:br/>
        <w:t xml:space="preserve">    arrival_time.py</w:t>
        <w:br/>
        <w:t xml:space="preserve">    recompute.py</w:t>
        <w:br/>
        <w:t xml:space="preserve">  affected_area/</w:t>
        <w:br/>
        <w:t xml:space="preserve">    thresholds.py</w:t>
        <w:br/>
        <w:t xml:space="preserve">    polygonize.py</w:t>
        <w:br/>
        <w:t xml:space="preserve">    geometry_validity.py</w:t>
        <w:br/>
        <w:t xml:space="preserve">    multipolygon.py</w:t>
        <w:br/>
        <w:t xml:space="preserve">    buffers.py</w:t>
        <w:br/>
        <w:t xml:space="preserve">  risk/</w:t>
        <w:br/>
        <w:t xml:space="preserve">    urgency.py</w:t>
        <w:br/>
        <w:t xml:space="preserve">    intensity.py</w:t>
        <w:br/>
        <w:t xml:space="preserve">    escalation.py</w:t>
        <w:br/>
        <w:t xml:space="preserve">    surface.py</w:t>
        <w:br/>
        <w:t xml:space="preserve">    classification.py</w:t>
        <w:br/>
        <w:t xml:space="preserve">  datasets/</w:t>
        <w:br/>
        <w:t xml:space="preserve">    dem.py</w:t>
        <w:br/>
        <w:t xml:space="preserve">    fuel.py</w:t>
        <w:br/>
        <w:t xml:space="preserve">    population.py</w:t>
        <w:br/>
        <w:t xml:space="preserve">    infrastructure.py</w:t>
        <w:br/>
        <w:t xml:space="preserve">  io/</w:t>
        <w:br/>
        <w:t xml:space="preserve">    raster_store.py</w:t>
        <w:br/>
        <w:t xml:space="preserve">    geojson.py</w:t>
        <w:br/>
        <w:t xml:space="preserve">    provenance.py</w:t>
        <w:br/>
        <w:t>tests/</w:t>
        <w:br/>
        <w:t xml:space="preserve">  fire_spread/</w:t>
        <w:br/>
        <w:t xml:space="preserve">  affected_area/</w:t>
        <w:br/>
        <w:t xml:space="preserve">  risk/</w:t>
        <w:br/>
        <w:t xml:space="preserve">  fixtures/</w:t>
        <w:br/>
      </w:r>
    </w:p>
    <w:p>
      <w:pPr>
        <w:pStyle w:val="Heading2"/>
      </w:pPr>
      <w:r>
        <w:t>30.1 Module ownership</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Module</w:t>
            </w:r>
          </w:p>
        </w:tc>
        <w:tc>
          <w:tcPr>
            <w:tcW w:type="dxa" w:w="5112"/>
            <w:vAlign w:val="center"/>
            <w:shd w:fill="0B5A75"/>
          </w:tcPr>
          <w:p>
            <w:pPr>
              <w:spacing w:after="0"/>
            </w:pPr>
            <w:r/>
            <w:r>
              <w:rPr>
                <w:rFonts w:ascii="Aptos" w:hAnsi="Aptos"/>
                <w:b/>
                <w:color w:val="FFFFFF"/>
                <w:sz w:val="15"/>
              </w:rPr>
              <w:t>Owns</w:t>
            </w:r>
          </w:p>
        </w:tc>
      </w:tr>
      <w:tr>
        <w:tc>
          <w:tcPr>
            <w:tcW w:type="dxa" w:w="5112"/>
            <w:vAlign w:val="center"/>
          </w:tcPr>
          <w:p>
            <w:pPr>
              <w:spacing w:after="0"/>
            </w:pPr>
            <w:r/>
            <w:r>
              <w:rPr>
                <w:rFonts w:ascii="Aptos" w:hAnsi="Aptos"/>
                <w:b w:val="0"/>
                <w:color w:val="111827"/>
                <w:sz w:val="15"/>
              </w:rPr>
              <w:t>wind.py</w:t>
            </w:r>
          </w:p>
        </w:tc>
        <w:tc>
          <w:tcPr>
            <w:tcW w:type="dxa" w:w="5112"/>
            <w:vAlign w:val="center"/>
          </w:tcPr>
          <w:p>
            <w:pPr>
              <w:spacing w:after="0"/>
            </w:pPr>
            <w:r/>
            <w:r>
              <w:rPr>
                <w:rFonts w:ascii="Aptos" w:hAnsi="Aptos"/>
                <w:b w:val="0"/>
                <w:color w:val="111827"/>
                <w:sz w:val="15"/>
              </w:rPr>
              <w:t>FROM→TO, wind vector, midflame adjustment.</w:t>
            </w:r>
          </w:p>
        </w:tc>
      </w:tr>
      <w:tr>
        <w:tc>
          <w:tcPr>
            <w:tcW w:type="dxa" w:w="5112"/>
            <w:vAlign w:val="center"/>
            <w:shd w:fill="F3F4F6"/>
          </w:tcPr>
          <w:p>
            <w:pPr>
              <w:spacing w:after="0"/>
            </w:pPr>
            <w:r/>
            <w:r>
              <w:rPr>
                <w:rFonts w:ascii="Aptos" w:hAnsi="Aptos"/>
                <w:b w:val="0"/>
                <w:color w:val="111827"/>
                <w:sz w:val="15"/>
              </w:rPr>
              <w:t>terrain.py</w:t>
            </w:r>
          </w:p>
        </w:tc>
        <w:tc>
          <w:tcPr>
            <w:tcW w:type="dxa" w:w="5112"/>
            <w:vAlign w:val="center"/>
            <w:shd w:fill="F3F4F6"/>
          </w:tcPr>
          <w:p>
            <w:pPr>
              <w:spacing w:after="0"/>
            </w:pPr>
            <w:r/>
            <w:r>
              <w:rPr>
                <w:rFonts w:ascii="Aptos" w:hAnsi="Aptos"/>
                <w:b w:val="0"/>
                <w:color w:val="111827"/>
                <w:sz w:val="15"/>
              </w:rPr>
              <w:t>DEM sampling, slope/aspect.</w:t>
            </w:r>
          </w:p>
        </w:tc>
      </w:tr>
      <w:tr>
        <w:tc>
          <w:tcPr>
            <w:tcW w:type="dxa" w:w="5112"/>
            <w:vAlign w:val="center"/>
          </w:tcPr>
          <w:p>
            <w:pPr>
              <w:spacing w:after="0"/>
            </w:pPr>
            <w:r/>
            <w:r>
              <w:rPr>
                <w:rFonts w:ascii="Aptos" w:hAnsi="Aptos"/>
                <w:b w:val="0"/>
                <w:color w:val="111827"/>
                <w:sz w:val="15"/>
              </w:rPr>
              <w:t>fuel.py</w:t>
            </w:r>
          </w:p>
        </w:tc>
        <w:tc>
          <w:tcPr>
            <w:tcW w:type="dxa" w:w="5112"/>
            <w:vAlign w:val="center"/>
          </w:tcPr>
          <w:p>
            <w:pPr>
              <w:spacing w:after="0"/>
            </w:pPr>
            <w:r/>
            <w:r>
              <w:rPr>
                <w:rFonts w:ascii="Aptos" w:hAnsi="Aptos"/>
                <w:b w:val="0"/>
                <w:color w:val="111827"/>
                <w:sz w:val="15"/>
              </w:rPr>
              <w:t>Fuel profiles/class lookup.</w:t>
            </w:r>
          </w:p>
        </w:tc>
      </w:tr>
      <w:tr>
        <w:tc>
          <w:tcPr>
            <w:tcW w:type="dxa" w:w="5112"/>
            <w:vAlign w:val="center"/>
            <w:shd w:fill="F3F4F6"/>
          </w:tcPr>
          <w:p>
            <w:pPr>
              <w:spacing w:after="0"/>
            </w:pPr>
            <w:r/>
            <w:r>
              <w:rPr>
                <w:rFonts w:ascii="Aptos" w:hAnsi="Aptos"/>
                <w:b w:val="0"/>
                <w:color w:val="111827"/>
                <w:sz w:val="15"/>
              </w:rPr>
              <w:t>moisture.py</w:t>
            </w:r>
          </w:p>
        </w:tc>
        <w:tc>
          <w:tcPr>
            <w:tcW w:type="dxa" w:w="5112"/>
            <w:vAlign w:val="center"/>
            <w:shd w:fill="F3F4F6"/>
          </w:tcPr>
          <w:p>
            <w:pPr>
              <w:spacing w:after="0"/>
            </w:pPr>
            <w:r/>
            <w:r>
              <w:rPr>
                <w:rFonts w:ascii="Aptos" w:hAnsi="Aptos"/>
                <w:b w:val="0"/>
                <w:color w:val="111827"/>
                <w:sz w:val="15"/>
              </w:rPr>
              <w:t>Moisture/context normalization.</w:t>
            </w:r>
          </w:p>
        </w:tc>
      </w:tr>
      <w:tr>
        <w:tc>
          <w:tcPr>
            <w:tcW w:type="dxa" w:w="5112"/>
            <w:vAlign w:val="center"/>
          </w:tcPr>
          <w:p>
            <w:pPr>
              <w:spacing w:after="0"/>
            </w:pPr>
            <w:r/>
            <w:r>
              <w:rPr>
                <w:rFonts w:ascii="Aptos" w:hAnsi="Aptos"/>
                <w:b w:val="0"/>
                <w:color w:val="111827"/>
                <w:sz w:val="15"/>
              </w:rPr>
              <w:t>ros.py</w:t>
            </w:r>
          </w:p>
        </w:tc>
        <w:tc>
          <w:tcPr>
            <w:tcW w:type="dxa" w:w="5112"/>
            <w:vAlign w:val="center"/>
          </w:tcPr>
          <w:p>
            <w:pPr>
              <w:spacing w:after="0"/>
            </w:pPr>
            <w:r/>
            <w:r>
              <w:rPr>
                <w:rFonts w:ascii="Aptos" w:hAnsi="Aptos"/>
                <w:b w:val="0"/>
                <w:color w:val="111827"/>
                <w:sz w:val="15"/>
              </w:rPr>
              <w:t>Base and directional ROS.</w:t>
            </w:r>
          </w:p>
        </w:tc>
      </w:tr>
      <w:tr>
        <w:tc>
          <w:tcPr>
            <w:tcW w:type="dxa" w:w="5112"/>
            <w:vAlign w:val="center"/>
            <w:shd w:fill="F3F4F6"/>
          </w:tcPr>
          <w:p>
            <w:pPr>
              <w:spacing w:after="0"/>
            </w:pPr>
            <w:r/>
            <w:r>
              <w:rPr>
                <w:rFonts w:ascii="Aptos" w:hAnsi="Aptos"/>
                <w:b w:val="0"/>
                <w:color w:val="111827"/>
                <w:sz w:val="15"/>
              </w:rPr>
              <w:t>propagation.py</w:t>
            </w:r>
          </w:p>
        </w:tc>
        <w:tc>
          <w:tcPr>
            <w:tcW w:type="dxa" w:w="5112"/>
            <w:vAlign w:val="center"/>
            <w:shd w:fill="F3F4F6"/>
          </w:tcPr>
          <w:p>
            <w:pPr>
              <w:spacing w:after="0"/>
            </w:pPr>
            <w:r/>
            <w:r>
              <w:rPr>
                <w:rFonts w:ascii="Aptos" w:hAnsi="Aptos"/>
                <w:b w:val="0"/>
                <w:color w:val="111827"/>
                <w:sz w:val="15"/>
              </w:rPr>
              <w:t>Priority queue / arrival-time field.</w:t>
            </w:r>
          </w:p>
        </w:tc>
      </w:tr>
      <w:tr>
        <w:tc>
          <w:tcPr>
            <w:tcW w:type="dxa" w:w="5112"/>
            <w:vAlign w:val="center"/>
          </w:tcPr>
          <w:p>
            <w:pPr>
              <w:spacing w:after="0"/>
            </w:pPr>
            <w:r/>
            <w:r>
              <w:rPr>
                <w:rFonts w:ascii="Aptos" w:hAnsi="Aptos"/>
                <w:b w:val="0"/>
                <w:color w:val="111827"/>
                <w:sz w:val="15"/>
              </w:rPr>
              <w:t>recompute.py</w:t>
            </w:r>
          </w:p>
        </w:tc>
        <w:tc>
          <w:tcPr>
            <w:tcW w:type="dxa" w:w="5112"/>
            <w:vAlign w:val="center"/>
          </w:tcPr>
          <w:p>
            <w:pPr>
              <w:spacing w:after="0"/>
            </w:pPr>
            <w:r/>
            <w:r>
              <w:rPr>
                <w:rFonts w:ascii="Aptos" w:hAnsi="Aptos"/>
                <w:b w:val="0"/>
                <w:color w:val="111827"/>
                <w:sz w:val="15"/>
              </w:rPr>
              <w:t>Mid-run environment updates.</w:t>
            </w:r>
          </w:p>
        </w:tc>
      </w:tr>
      <w:tr>
        <w:tc>
          <w:tcPr>
            <w:tcW w:type="dxa" w:w="5112"/>
            <w:vAlign w:val="center"/>
            <w:shd w:fill="F3F4F6"/>
          </w:tcPr>
          <w:p>
            <w:pPr>
              <w:spacing w:after="0"/>
            </w:pPr>
            <w:r/>
            <w:r>
              <w:rPr>
                <w:rFonts w:ascii="Aptos" w:hAnsi="Aptos"/>
                <w:b w:val="0"/>
                <w:color w:val="111827"/>
                <w:sz w:val="15"/>
              </w:rPr>
              <w:t>polygonize.py</w:t>
            </w:r>
          </w:p>
        </w:tc>
        <w:tc>
          <w:tcPr>
            <w:tcW w:type="dxa" w:w="5112"/>
            <w:vAlign w:val="center"/>
            <w:shd w:fill="F3F4F6"/>
          </w:tcPr>
          <w:p>
            <w:pPr>
              <w:spacing w:after="0"/>
            </w:pPr>
            <w:r/>
            <w:r>
              <w:rPr>
                <w:rFonts w:ascii="Aptos" w:hAnsi="Aptos"/>
                <w:b w:val="0"/>
                <w:color w:val="111827"/>
                <w:sz w:val="15"/>
              </w:rPr>
              <w:t>Raster-to-geometry.</w:t>
            </w:r>
          </w:p>
        </w:tc>
      </w:tr>
      <w:tr>
        <w:tc>
          <w:tcPr>
            <w:tcW w:type="dxa" w:w="5112"/>
            <w:vAlign w:val="center"/>
          </w:tcPr>
          <w:p>
            <w:pPr>
              <w:spacing w:after="0"/>
            </w:pPr>
            <w:r/>
            <w:r>
              <w:rPr>
                <w:rFonts w:ascii="Aptos" w:hAnsi="Aptos"/>
                <w:b w:val="0"/>
                <w:color w:val="111827"/>
                <w:sz w:val="15"/>
              </w:rPr>
              <w:t>geometry_validity.py</w:t>
            </w:r>
          </w:p>
        </w:tc>
        <w:tc>
          <w:tcPr>
            <w:tcW w:type="dxa" w:w="5112"/>
            <w:vAlign w:val="center"/>
          </w:tcPr>
          <w:p>
            <w:pPr>
              <w:spacing w:after="0"/>
            </w:pPr>
            <w:r/>
            <w:r>
              <w:rPr>
                <w:rFonts w:ascii="Aptos" w:hAnsi="Aptos"/>
                <w:b w:val="0"/>
                <w:color w:val="111827"/>
                <w:sz w:val="15"/>
              </w:rPr>
              <w:t>Validity checks/repair.</w:t>
            </w:r>
          </w:p>
        </w:tc>
      </w:tr>
      <w:tr>
        <w:tc>
          <w:tcPr>
            <w:tcW w:type="dxa" w:w="5112"/>
            <w:vAlign w:val="center"/>
            <w:shd w:fill="F3F4F6"/>
          </w:tcPr>
          <w:p>
            <w:pPr>
              <w:spacing w:after="0"/>
            </w:pPr>
            <w:r/>
            <w:r>
              <w:rPr>
                <w:rFonts w:ascii="Aptos" w:hAnsi="Aptos"/>
                <w:b w:val="0"/>
                <w:color w:val="111827"/>
                <w:sz w:val="15"/>
              </w:rPr>
              <w:t>buffers.py</w:t>
            </w:r>
          </w:p>
        </w:tc>
        <w:tc>
          <w:tcPr>
            <w:tcW w:type="dxa" w:w="5112"/>
            <w:vAlign w:val="center"/>
            <w:shd w:fill="F3F4F6"/>
          </w:tcPr>
          <w:p>
            <w:pPr>
              <w:spacing w:after="0"/>
            </w:pPr>
            <w:r/>
            <w:r>
              <w:rPr>
                <w:rFonts w:ascii="Aptos" w:hAnsi="Aptos"/>
                <w:b w:val="0"/>
                <w:color w:val="111827"/>
                <w:sz w:val="15"/>
              </w:rPr>
              <w:t>Operational policy buffer.</w:t>
            </w:r>
          </w:p>
        </w:tc>
      </w:tr>
      <w:tr>
        <w:tc>
          <w:tcPr>
            <w:tcW w:type="dxa" w:w="5112"/>
            <w:vAlign w:val="center"/>
          </w:tcPr>
          <w:p>
            <w:pPr>
              <w:spacing w:after="0"/>
            </w:pPr>
            <w:r/>
            <w:r>
              <w:rPr>
                <w:rFonts w:ascii="Aptos" w:hAnsi="Aptos"/>
                <w:b w:val="0"/>
                <w:color w:val="111827"/>
                <w:sz w:val="15"/>
              </w:rPr>
              <w:t>surface.py</w:t>
            </w:r>
          </w:p>
        </w:tc>
        <w:tc>
          <w:tcPr>
            <w:tcW w:type="dxa" w:w="5112"/>
            <w:vAlign w:val="center"/>
          </w:tcPr>
          <w:p>
            <w:pPr>
              <w:spacing w:after="0"/>
            </w:pPr>
            <w:r/>
            <w:r>
              <w:rPr>
                <w:rFonts w:ascii="Aptos" w:hAnsi="Aptos"/>
                <w:b w:val="0"/>
                <w:color w:val="111827"/>
                <w:sz w:val="15"/>
              </w:rPr>
              <w:t>Hazard risk raster.</w:t>
            </w:r>
          </w:p>
        </w:tc>
      </w:tr>
      <w:tr>
        <w:tc>
          <w:tcPr>
            <w:tcW w:type="dxa" w:w="5112"/>
            <w:vAlign w:val="center"/>
            <w:shd w:fill="F3F4F6"/>
          </w:tcPr>
          <w:p>
            <w:pPr>
              <w:spacing w:after="0"/>
            </w:pPr>
            <w:r/>
            <w:r>
              <w:rPr>
                <w:rFonts w:ascii="Aptos" w:hAnsi="Aptos"/>
                <w:b w:val="0"/>
                <w:color w:val="111827"/>
                <w:sz w:val="15"/>
              </w:rPr>
              <w:t>classification.py</w:t>
            </w:r>
          </w:p>
        </w:tc>
        <w:tc>
          <w:tcPr>
            <w:tcW w:type="dxa" w:w="5112"/>
            <w:vAlign w:val="center"/>
            <w:shd w:fill="F3F4F6"/>
          </w:tcPr>
          <w:p>
            <w:pPr>
              <w:spacing w:after="0"/>
            </w:pPr>
            <w:r/>
            <w:r>
              <w:rPr>
                <w:rFonts w:ascii="Aptos" w:hAnsi="Aptos"/>
                <w:b w:val="0"/>
                <w:color w:val="111827"/>
                <w:sz w:val="15"/>
              </w:rPr>
              <w:t>Risk bands.</w:t>
            </w:r>
          </w:p>
        </w:tc>
      </w:tr>
    </w:tbl>
    <w:p/>
    <w:p>
      <w:pPr>
        <w:pStyle w:val="Heading1"/>
      </w:pPr>
      <w:r>
        <w:t>31. Service/API Contract</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Endpoint</w:t>
            </w:r>
          </w:p>
        </w:tc>
        <w:tc>
          <w:tcPr>
            <w:tcW w:type="dxa" w:w="5112"/>
            <w:vAlign w:val="center"/>
            <w:shd w:fill="0B5A75"/>
          </w:tcPr>
          <w:p>
            <w:pPr>
              <w:spacing w:after="0"/>
            </w:pPr>
            <w:r/>
            <w:r>
              <w:rPr>
                <w:rFonts w:ascii="Aptos" w:hAnsi="Aptos"/>
                <w:b/>
                <w:color w:val="FFFFFF"/>
                <w:sz w:val="15"/>
              </w:rPr>
              <w:t>Purpose</w:t>
            </w:r>
          </w:p>
        </w:tc>
      </w:tr>
      <w:tr>
        <w:tc>
          <w:tcPr>
            <w:tcW w:type="dxa" w:w="5112"/>
            <w:vAlign w:val="center"/>
          </w:tcPr>
          <w:p>
            <w:pPr>
              <w:spacing w:after="0"/>
            </w:pPr>
            <w:r/>
            <w:r>
              <w:rPr>
                <w:rFonts w:ascii="Aptos" w:hAnsi="Aptos"/>
                <w:b w:val="0"/>
                <w:color w:val="111827"/>
                <w:sz w:val="15"/>
              </w:rPr>
              <w:t>GET /api/v1/incidents/{id}/spread</w:t>
            </w:r>
          </w:p>
        </w:tc>
        <w:tc>
          <w:tcPr>
            <w:tcW w:type="dxa" w:w="5112"/>
            <w:vAlign w:val="center"/>
          </w:tcPr>
          <w:p>
            <w:pPr>
              <w:spacing w:after="0"/>
            </w:pPr>
            <w:r/>
            <w:r>
              <w:rPr>
                <w:rFonts w:ascii="Aptos" w:hAnsi="Aptos"/>
                <w:b w:val="0"/>
                <w:color w:val="111827"/>
                <w:sz w:val="15"/>
              </w:rPr>
              <w:t>Current spread summary and geometry references.</w:t>
            </w:r>
          </w:p>
        </w:tc>
      </w:tr>
      <w:tr>
        <w:tc>
          <w:tcPr>
            <w:tcW w:type="dxa" w:w="5112"/>
            <w:vAlign w:val="center"/>
            <w:shd w:fill="F3F4F6"/>
          </w:tcPr>
          <w:p>
            <w:pPr>
              <w:spacing w:after="0"/>
            </w:pPr>
            <w:r/>
            <w:r>
              <w:rPr>
                <w:rFonts w:ascii="Aptos" w:hAnsi="Aptos"/>
                <w:b w:val="0"/>
                <w:color w:val="111827"/>
                <w:sz w:val="15"/>
              </w:rPr>
              <w:t>GET /api/v1/incidents/{id}/spread/run/{run_id}</w:t>
            </w:r>
          </w:p>
        </w:tc>
        <w:tc>
          <w:tcPr>
            <w:tcW w:type="dxa" w:w="5112"/>
            <w:vAlign w:val="center"/>
            <w:shd w:fill="F3F4F6"/>
          </w:tcPr>
          <w:p>
            <w:pPr>
              <w:spacing w:after="0"/>
            </w:pPr>
            <w:r/>
            <w:r>
              <w:rPr>
                <w:rFonts w:ascii="Aptos" w:hAnsi="Aptos"/>
                <w:b w:val="0"/>
                <w:color w:val="111827"/>
                <w:sz w:val="15"/>
              </w:rPr>
              <w:t>Detailed spread-run metadata/output.</w:t>
            </w:r>
          </w:p>
        </w:tc>
      </w:tr>
      <w:tr>
        <w:tc>
          <w:tcPr>
            <w:tcW w:type="dxa" w:w="5112"/>
            <w:vAlign w:val="center"/>
          </w:tcPr>
          <w:p>
            <w:pPr>
              <w:spacing w:after="0"/>
            </w:pPr>
            <w:r/>
            <w:r>
              <w:rPr>
                <w:rFonts w:ascii="Aptos" w:hAnsi="Aptos"/>
                <w:b w:val="0"/>
                <w:color w:val="111827"/>
                <w:sz w:val="15"/>
              </w:rPr>
              <w:t>GET /api/v1/incidents/{id}/spread/arrival</w:t>
            </w:r>
          </w:p>
        </w:tc>
        <w:tc>
          <w:tcPr>
            <w:tcW w:type="dxa" w:w="5112"/>
            <w:vAlign w:val="center"/>
          </w:tcPr>
          <w:p>
            <w:pPr>
              <w:spacing w:after="0"/>
            </w:pPr>
            <w:r/>
            <w:r>
              <w:rPr>
                <w:rFonts w:ascii="Aptos" w:hAnsi="Aptos"/>
                <w:b w:val="0"/>
                <w:color w:val="111827"/>
                <w:sz w:val="15"/>
              </w:rPr>
              <w:t>Arrival-time source/tiles/reference where exposed.</w:t>
            </w:r>
          </w:p>
        </w:tc>
      </w:tr>
      <w:tr>
        <w:tc>
          <w:tcPr>
            <w:tcW w:type="dxa" w:w="5112"/>
            <w:vAlign w:val="center"/>
            <w:shd w:fill="F3F4F6"/>
          </w:tcPr>
          <w:p>
            <w:pPr>
              <w:spacing w:after="0"/>
            </w:pPr>
            <w:r/>
            <w:r>
              <w:rPr>
                <w:rFonts w:ascii="Aptos" w:hAnsi="Aptos"/>
                <w:b w:val="0"/>
                <w:color w:val="111827"/>
                <w:sz w:val="15"/>
              </w:rPr>
              <w:t>GET /api/v1/incidents/{id}/spread/risk</w:t>
            </w:r>
          </w:p>
        </w:tc>
        <w:tc>
          <w:tcPr>
            <w:tcW w:type="dxa" w:w="5112"/>
            <w:vAlign w:val="center"/>
            <w:shd w:fill="F3F4F6"/>
          </w:tcPr>
          <w:p>
            <w:pPr>
              <w:spacing w:after="0"/>
            </w:pPr>
            <w:r/>
            <w:r>
              <w:rPr>
                <w:rFonts w:ascii="Aptos" w:hAnsi="Aptos"/>
                <w:b w:val="0"/>
                <w:color w:val="111827"/>
                <w:sz w:val="15"/>
              </w:rPr>
              <w:t>Hazard risk surface metadata/source.</w:t>
            </w:r>
          </w:p>
        </w:tc>
      </w:tr>
      <w:tr>
        <w:tc>
          <w:tcPr>
            <w:tcW w:type="dxa" w:w="5112"/>
            <w:vAlign w:val="center"/>
          </w:tcPr>
          <w:p>
            <w:pPr>
              <w:spacing w:after="0"/>
            </w:pPr>
            <w:r/>
            <w:r>
              <w:rPr>
                <w:rFonts w:ascii="Aptos" w:hAnsi="Aptos"/>
                <w:b w:val="0"/>
                <w:color w:val="111827"/>
                <w:sz w:val="15"/>
              </w:rPr>
              <w:t>GET /api/v1/incidents/{id}/affected-area</w:t>
            </w:r>
          </w:p>
        </w:tc>
        <w:tc>
          <w:tcPr>
            <w:tcW w:type="dxa" w:w="5112"/>
            <w:vAlign w:val="center"/>
          </w:tcPr>
          <w:p>
            <w:pPr>
              <w:spacing w:after="0"/>
            </w:pPr>
            <w:r/>
            <w:r>
              <w:rPr>
                <w:rFonts w:ascii="Aptos" w:hAnsi="Aptos"/>
                <w:b w:val="0"/>
                <w:color w:val="111827"/>
                <w:sz w:val="15"/>
              </w:rPr>
              <w:t>Current/warning/projection/buffer geometry.</w:t>
            </w:r>
          </w:p>
        </w:tc>
      </w:tr>
    </w:tbl>
    <w:p/>
    <w:p>
      <w:pPr>
        <w:pStyle w:val="Heading2"/>
      </w:pPr>
      <w:r>
        <w:t>31.1 Conceptual response</w:t>
      </w:r>
    </w:p>
    <w:p>
      <w:pPr>
        <w:pStyle w:val="CodeBlock"/>
        <w:shd w:fill="F8FAFC"/>
      </w:pPr>
      <w:r>
        <w:t>{</w:t>
        <w:br/>
        <w:t xml:space="preserve">  "incident_id": "INC-FIRE-0041",</w:t>
        <w:br/>
        <w:t xml:space="preserve">  "mode": "LIVE",</w:t>
        <w:br/>
        <w:t xml:space="preserve">  "run_id": "RUN-0017",</w:t>
        <w:br/>
        <w:t xml:space="preserve">  "updated_at": "...",</w:t>
        <w:br/>
        <w:br/>
        <w:t xml:space="preserve">  "environment": {</w:t>
        <w:br/>
        <w:t xml:space="preserve">    "wind_speed_mps": 4.8,</w:t>
        <w:br/>
        <w:t xml:space="preserve">    "wind_from_deg": 240,</w:t>
        <w:br/>
        <w:t xml:space="preserve">    "wind_to_deg": 60,</w:t>
        <w:br/>
        <w:t xml:space="preserve">    "moisture_index": 0.34</w:t>
        <w:br/>
        <w:t xml:space="preserve">  },</w:t>
        <w:br/>
        <w:br/>
        <w:t xml:space="preserve">  "geometry": {</w:t>
        <w:br/>
        <w:t xml:space="preserve">    "current": "GeoJSON/feature-reference",</w:t>
        <w:br/>
        <w:t xml:space="preserve">    "warning": "GeoJSON/feature-reference",</w:t>
        <w:br/>
        <w:t xml:space="preserve">    "projection": "GeoJSON/feature-reference",</w:t>
        <w:br/>
        <w:t xml:space="preserve">    "operational_buffer": "GeoJSON/feature-reference"</w:t>
        <w:br/>
        <w:t xml:space="preserve">  },</w:t>
        <w:br/>
        <w:br/>
        <w:t xml:space="preserve">  "metrics": {</w:t>
        <w:br/>
        <w:t xml:space="preserve">    "current_area_m2": 18420,</w:t>
        <w:br/>
        <w:t xml:space="preserve">    "warning_area_m2": 27100,</w:t>
        <w:br/>
        <w:t xml:space="preserve">    "projection_area_m2": 39200,</w:t>
        <w:br/>
        <w:t xml:space="preserve">    "area_growth_m2_per_min": 510.2</w:t>
        <w:br/>
        <w:t xml:space="preserve">  },</w:t>
        <w:br/>
        <w:br/>
        <w:t xml:space="preserve">  "risk_surface": {</w:t>
        <w:br/>
        <w:t xml:space="preserve">    "kind": "HAZARD_RISK_INDEX",</w:t>
        <w:br/>
        <w:t xml:space="preserve">    "probability": false,</w:t>
        <w:br/>
        <w:t xml:space="preserve">    "source": "..."</w:t>
        <w:br/>
        <w:t xml:space="preserve">  },</w:t>
        <w:br/>
        <w:br/>
        <w:t xml:space="preserve">  "assumptions": [</w:t>
        <w:br/>
        <w:t xml:space="preserve">    "Simplified fuel classes",</w:t>
        <w:br/>
        <w:t xml:space="preserve">    "Projection assumes current environmental conditions until next update"</w:t>
        <w:br/>
        <w:t xml:space="preserve">  ]</w:t>
        <w:br/>
        <w:t>}</w:t>
      </w:r>
    </w:p>
    <w:p>
      <w:pPr>
        <w:pStyle w:val="Heading1"/>
      </w:pPr>
      <w:r>
        <w:t>32. Simulation Scenarios</w:t>
      </w:r>
    </w:p>
    <w:p>
      <w:pPr>
        <w:pStyle w:val="Heading2"/>
      </w:pPr>
      <w:r>
        <w:t>32.1 Minimum scenario library</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Scenario</w:t>
            </w:r>
          </w:p>
        </w:tc>
        <w:tc>
          <w:tcPr>
            <w:tcW w:type="dxa" w:w="5112"/>
            <w:vAlign w:val="center"/>
            <w:shd w:fill="0B5A75"/>
          </w:tcPr>
          <w:p>
            <w:pPr>
              <w:spacing w:after="0"/>
            </w:pPr>
            <w:r/>
            <w:r>
              <w:rPr>
                <w:rFonts w:ascii="Aptos" w:hAnsi="Aptos"/>
                <w:b/>
                <w:color w:val="FFFFFF"/>
                <w:sz w:val="15"/>
              </w:rPr>
              <w:t>Purpose</w:t>
            </w:r>
          </w:p>
        </w:tc>
      </w:tr>
      <w:tr>
        <w:tc>
          <w:tcPr>
            <w:tcW w:type="dxa" w:w="5112"/>
            <w:vAlign w:val="center"/>
          </w:tcPr>
          <w:p>
            <w:pPr>
              <w:spacing w:after="0"/>
            </w:pPr>
            <w:r/>
            <w:r>
              <w:rPr>
                <w:rFonts w:ascii="Aptos" w:hAnsi="Aptos"/>
                <w:b w:val="0"/>
                <w:color w:val="111827"/>
                <w:sz w:val="15"/>
              </w:rPr>
              <w:t>S01 Uniform calm</w:t>
            </w:r>
          </w:p>
        </w:tc>
        <w:tc>
          <w:tcPr>
            <w:tcW w:type="dxa" w:w="5112"/>
            <w:vAlign w:val="center"/>
          </w:tcPr>
          <w:p>
            <w:pPr>
              <w:spacing w:after="0"/>
            </w:pPr>
            <w:r/>
            <w:r>
              <w:rPr>
                <w:rFonts w:ascii="Aptos" w:hAnsi="Aptos"/>
                <w:b w:val="0"/>
                <w:color w:val="111827"/>
                <w:sz w:val="15"/>
              </w:rPr>
              <w:t>Geometry sanity; circle/diagonal test.</w:t>
            </w:r>
          </w:p>
        </w:tc>
      </w:tr>
      <w:tr>
        <w:tc>
          <w:tcPr>
            <w:tcW w:type="dxa" w:w="5112"/>
            <w:vAlign w:val="center"/>
            <w:shd w:fill="F3F4F6"/>
          </w:tcPr>
          <w:p>
            <w:pPr>
              <w:spacing w:after="0"/>
            </w:pPr>
            <w:r/>
            <w:r>
              <w:rPr>
                <w:rFonts w:ascii="Aptos" w:hAnsi="Aptos"/>
                <w:b w:val="0"/>
                <w:color w:val="111827"/>
                <w:sz w:val="15"/>
              </w:rPr>
              <w:t>S02 Wind rotation</w:t>
            </w:r>
          </w:p>
        </w:tc>
        <w:tc>
          <w:tcPr>
            <w:tcW w:type="dxa" w:w="5112"/>
            <w:vAlign w:val="center"/>
            <w:shd w:fill="F3F4F6"/>
          </w:tcPr>
          <w:p>
            <w:pPr>
              <w:spacing w:after="0"/>
            </w:pPr>
            <w:r/>
            <w:r>
              <w:rPr>
                <w:rFonts w:ascii="Aptos" w:hAnsi="Aptos"/>
                <w:b w:val="0"/>
                <w:color w:val="111827"/>
                <w:sz w:val="15"/>
              </w:rPr>
              <w:t>Directional behavior.</w:t>
            </w:r>
          </w:p>
        </w:tc>
      </w:tr>
      <w:tr>
        <w:tc>
          <w:tcPr>
            <w:tcW w:type="dxa" w:w="5112"/>
            <w:vAlign w:val="center"/>
          </w:tcPr>
          <w:p>
            <w:pPr>
              <w:spacing w:after="0"/>
            </w:pPr>
            <w:r/>
            <w:r>
              <w:rPr>
                <w:rFonts w:ascii="Aptos" w:hAnsi="Aptos"/>
                <w:b w:val="0"/>
                <w:color w:val="111827"/>
                <w:sz w:val="15"/>
              </w:rPr>
              <w:t>S03 Wind + slope</w:t>
            </w:r>
          </w:p>
        </w:tc>
        <w:tc>
          <w:tcPr>
            <w:tcW w:type="dxa" w:w="5112"/>
            <w:vAlign w:val="center"/>
          </w:tcPr>
          <w:p>
            <w:pPr>
              <w:spacing w:after="0"/>
            </w:pPr>
            <w:r/>
            <w:r>
              <w:rPr>
                <w:rFonts w:ascii="Aptos" w:hAnsi="Aptos"/>
                <w:b w:val="0"/>
                <w:color w:val="111827"/>
                <w:sz w:val="15"/>
              </w:rPr>
              <w:t>Combined vector behavior.</w:t>
            </w:r>
          </w:p>
        </w:tc>
      </w:tr>
      <w:tr>
        <w:tc>
          <w:tcPr>
            <w:tcW w:type="dxa" w:w="5112"/>
            <w:vAlign w:val="center"/>
            <w:shd w:fill="F3F4F6"/>
          </w:tcPr>
          <w:p>
            <w:pPr>
              <w:spacing w:after="0"/>
            </w:pPr>
            <w:r/>
            <w:r>
              <w:rPr>
                <w:rFonts w:ascii="Aptos" w:hAnsi="Aptos"/>
                <w:b w:val="0"/>
                <w:color w:val="111827"/>
                <w:sz w:val="15"/>
              </w:rPr>
              <w:t>S04 Fuel mosaic</w:t>
            </w:r>
          </w:p>
        </w:tc>
        <w:tc>
          <w:tcPr>
            <w:tcW w:type="dxa" w:w="5112"/>
            <w:vAlign w:val="center"/>
            <w:shd w:fill="F3F4F6"/>
          </w:tcPr>
          <w:p>
            <w:pPr>
              <w:spacing w:after="0"/>
            </w:pPr>
            <w:r/>
            <w:r>
              <w:rPr>
                <w:rFonts w:ascii="Aptos" w:hAnsi="Aptos"/>
                <w:b w:val="0"/>
                <w:color w:val="111827"/>
                <w:sz w:val="15"/>
              </w:rPr>
              <w:t>Heterogeneous spread.</w:t>
            </w:r>
          </w:p>
        </w:tc>
      </w:tr>
      <w:tr>
        <w:tc>
          <w:tcPr>
            <w:tcW w:type="dxa" w:w="5112"/>
            <w:vAlign w:val="center"/>
          </w:tcPr>
          <w:p>
            <w:pPr>
              <w:spacing w:after="0"/>
            </w:pPr>
            <w:r/>
            <w:r>
              <w:rPr>
                <w:rFonts w:ascii="Aptos" w:hAnsi="Aptos"/>
                <w:b w:val="0"/>
                <w:color w:val="111827"/>
                <w:sz w:val="15"/>
              </w:rPr>
              <w:t>S05 Firebreak</w:t>
            </w:r>
          </w:p>
        </w:tc>
        <w:tc>
          <w:tcPr>
            <w:tcW w:type="dxa" w:w="5112"/>
            <w:vAlign w:val="center"/>
          </w:tcPr>
          <w:p>
            <w:pPr>
              <w:spacing w:after="0"/>
            </w:pPr>
            <w:r/>
            <w:r>
              <w:rPr>
                <w:rFonts w:ascii="Aptos" w:hAnsi="Aptos"/>
                <w:b w:val="0"/>
                <w:color w:val="111827"/>
                <w:sz w:val="15"/>
              </w:rPr>
              <w:t>Barrier routing.</w:t>
            </w:r>
          </w:p>
        </w:tc>
      </w:tr>
      <w:tr>
        <w:tc>
          <w:tcPr>
            <w:tcW w:type="dxa" w:w="5112"/>
            <w:vAlign w:val="center"/>
            <w:shd w:fill="F3F4F6"/>
          </w:tcPr>
          <w:p>
            <w:pPr>
              <w:spacing w:after="0"/>
            </w:pPr>
            <w:r/>
            <w:r>
              <w:rPr>
                <w:rFonts w:ascii="Aptos" w:hAnsi="Aptos"/>
                <w:b w:val="0"/>
                <w:color w:val="111827"/>
                <w:sz w:val="15"/>
              </w:rPr>
              <w:t>S06 Moisture increase</w:t>
            </w:r>
          </w:p>
        </w:tc>
        <w:tc>
          <w:tcPr>
            <w:tcW w:type="dxa" w:w="5112"/>
            <w:vAlign w:val="center"/>
            <w:shd w:fill="F3F4F6"/>
          </w:tcPr>
          <w:p>
            <w:pPr>
              <w:spacing w:after="0"/>
            </w:pPr>
            <w:r/>
            <w:r>
              <w:rPr>
                <w:rFonts w:ascii="Aptos" w:hAnsi="Aptos"/>
                <w:b w:val="0"/>
                <w:color w:val="111827"/>
                <w:sz w:val="15"/>
              </w:rPr>
              <w:t>Suppression response.</w:t>
            </w:r>
          </w:p>
        </w:tc>
      </w:tr>
      <w:tr>
        <w:tc>
          <w:tcPr>
            <w:tcW w:type="dxa" w:w="5112"/>
            <w:vAlign w:val="center"/>
          </w:tcPr>
          <w:p>
            <w:pPr>
              <w:spacing w:after="0"/>
            </w:pPr>
            <w:r/>
            <w:r>
              <w:rPr>
                <w:rFonts w:ascii="Aptos" w:hAnsi="Aptos"/>
                <w:b w:val="0"/>
                <w:color w:val="111827"/>
                <w:sz w:val="15"/>
              </w:rPr>
              <w:t>S07 Rapid escalation</w:t>
            </w:r>
          </w:p>
        </w:tc>
        <w:tc>
          <w:tcPr>
            <w:tcW w:type="dxa" w:w="5112"/>
            <w:vAlign w:val="center"/>
          </w:tcPr>
          <w:p>
            <w:pPr>
              <w:spacing w:after="0"/>
            </w:pPr>
            <w:r/>
            <w:r>
              <w:rPr>
                <w:rFonts w:ascii="Aptos" w:hAnsi="Aptos"/>
                <w:b w:val="0"/>
                <w:color w:val="111827"/>
                <w:sz w:val="15"/>
              </w:rPr>
              <w:t>Response/update timing.</w:t>
            </w:r>
          </w:p>
        </w:tc>
      </w:tr>
      <w:tr>
        <w:tc>
          <w:tcPr>
            <w:tcW w:type="dxa" w:w="5112"/>
            <w:vAlign w:val="center"/>
            <w:shd w:fill="F3F4F6"/>
          </w:tcPr>
          <w:p>
            <w:pPr>
              <w:spacing w:after="0"/>
            </w:pPr>
            <w:r/>
            <w:r>
              <w:rPr>
                <w:rFonts w:ascii="Aptos" w:hAnsi="Aptos"/>
                <w:b w:val="0"/>
                <w:color w:val="111827"/>
                <w:sz w:val="15"/>
              </w:rPr>
              <w:t>S08 Wind shift mid-run</w:t>
            </w:r>
          </w:p>
        </w:tc>
        <w:tc>
          <w:tcPr>
            <w:tcW w:type="dxa" w:w="5112"/>
            <w:vAlign w:val="center"/>
            <w:shd w:fill="F3F4F6"/>
          </w:tcPr>
          <w:p>
            <w:pPr>
              <w:spacing w:after="0"/>
            </w:pPr>
            <w:r/>
            <w:r>
              <w:rPr>
                <w:rFonts w:ascii="Aptos" w:hAnsi="Aptos"/>
                <w:b w:val="0"/>
                <w:color w:val="111827"/>
                <w:sz w:val="15"/>
              </w:rPr>
              <w:t>Recompute future wavefront.</w:t>
            </w:r>
          </w:p>
        </w:tc>
      </w:tr>
      <w:tr>
        <w:tc>
          <w:tcPr>
            <w:tcW w:type="dxa" w:w="5112"/>
            <w:vAlign w:val="center"/>
          </w:tcPr>
          <w:p>
            <w:pPr>
              <w:spacing w:after="0"/>
            </w:pPr>
            <w:r/>
            <w:r>
              <w:rPr>
                <w:rFonts w:ascii="Aptos" w:hAnsi="Aptos"/>
                <w:b w:val="0"/>
                <w:color w:val="111827"/>
                <w:sz w:val="15"/>
              </w:rPr>
              <w:t>S09 Domain edge</w:t>
            </w:r>
          </w:p>
        </w:tc>
        <w:tc>
          <w:tcPr>
            <w:tcW w:type="dxa" w:w="5112"/>
            <w:vAlign w:val="center"/>
          </w:tcPr>
          <w:p>
            <w:pPr>
              <w:spacing w:after="0"/>
            </w:pPr>
            <w:r/>
            <w:r>
              <w:rPr>
                <w:rFonts w:ascii="Aptos" w:hAnsi="Aptos"/>
                <w:b w:val="0"/>
                <w:color w:val="111827"/>
                <w:sz w:val="15"/>
              </w:rPr>
              <w:t>Boundary behavior.</w:t>
            </w:r>
          </w:p>
        </w:tc>
      </w:tr>
      <w:tr>
        <w:tc>
          <w:tcPr>
            <w:tcW w:type="dxa" w:w="5112"/>
            <w:vAlign w:val="center"/>
            <w:shd w:fill="F3F4F6"/>
          </w:tcPr>
          <w:p>
            <w:pPr>
              <w:spacing w:after="0"/>
            </w:pPr>
            <w:r/>
            <w:r>
              <w:rPr>
                <w:rFonts w:ascii="Aptos" w:hAnsi="Aptos"/>
                <w:b w:val="0"/>
                <w:color w:val="111827"/>
                <w:sz w:val="15"/>
              </w:rPr>
              <w:t>S10 Disconnected fuel islands</w:t>
            </w:r>
          </w:p>
        </w:tc>
        <w:tc>
          <w:tcPr>
            <w:tcW w:type="dxa" w:w="5112"/>
            <w:vAlign w:val="center"/>
            <w:shd w:fill="F3F4F6"/>
          </w:tcPr>
          <w:p>
            <w:pPr>
              <w:spacing w:after="0"/>
            </w:pPr>
            <w:r/>
            <w:r>
              <w:rPr>
                <w:rFonts w:ascii="Aptos" w:hAnsi="Aptos"/>
                <w:b w:val="0"/>
                <w:color w:val="111827"/>
                <w:sz w:val="15"/>
              </w:rPr>
              <w:t>MultiPolygon.</w:t>
            </w:r>
          </w:p>
        </w:tc>
      </w:tr>
      <w:tr>
        <w:tc>
          <w:tcPr>
            <w:tcW w:type="dxa" w:w="5112"/>
            <w:vAlign w:val="center"/>
          </w:tcPr>
          <w:p>
            <w:pPr>
              <w:spacing w:after="0"/>
            </w:pPr>
            <w:r/>
            <w:r>
              <w:rPr>
                <w:rFonts w:ascii="Aptos" w:hAnsi="Aptos"/>
                <w:b w:val="0"/>
                <w:color w:val="111827"/>
                <w:sz w:val="15"/>
              </w:rPr>
              <w:t>S11 Missing wind</w:t>
            </w:r>
          </w:p>
        </w:tc>
        <w:tc>
          <w:tcPr>
            <w:tcW w:type="dxa" w:w="5112"/>
            <w:vAlign w:val="center"/>
          </w:tcPr>
          <w:p>
            <w:pPr>
              <w:spacing w:after="0"/>
            </w:pPr>
            <w:r/>
            <w:r>
              <w:rPr>
                <w:rFonts w:ascii="Aptos" w:hAnsi="Aptos"/>
                <w:b w:val="0"/>
                <w:color w:val="111827"/>
                <w:sz w:val="15"/>
              </w:rPr>
              <w:t>Degraded assumption.</w:t>
            </w:r>
          </w:p>
        </w:tc>
      </w:tr>
      <w:tr>
        <w:tc>
          <w:tcPr>
            <w:tcW w:type="dxa" w:w="5112"/>
            <w:vAlign w:val="center"/>
            <w:shd w:fill="F3F4F6"/>
          </w:tcPr>
          <w:p>
            <w:pPr>
              <w:spacing w:after="0"/>
            </w:pPr>
            <w:r/>
            <w:r>
              <w:rPr>
                <w:rFonts w:ascii="Aptos" w:hAnsi="Aptos"/>
                <w:b w:val="0"/>
                <w:color w:val="111827"/>
                <w:sz w:val="15"/>
              </w:rPr>
              <w:t>S12 Missing DEM</w:t>
            </w:r>
          </w:p>
        </w:tc>
        <w:tc>
          <w:tcPr>
            <w:tcW w:type="dxa" w:w="5112"/>
            <w:vAlign w:val="center"/>
            <w:shd w:fill="F3F4F6"/>
          </w:tcPr>
          <w:p>
            <w:pPr>
              <w:spacing w:after="0"/>
            </w:pPr>
            <w:r/>
            <w:r>
              <w:rPr>
                <w:rFonts w:ascii="Aptos" w:hAnsi="Aptos"/>
                <w:b w:val="0"/>
                <w:color w:val="111827"/>
                <w:sz w:val="15"/>
              </w:rPr>
              <w:t>Terrain degraded.</w:t>
            </w:r>
          </w:p>
        </w:tc>
      </w:tr>
      <w:tr>
        <w:tc>
          <w:tcPr>
            <w:tcW w:type="dxa" w:w="5112"/>
            <w:vAlign w:val="center"/>
          </w:tcPr>
          <w:p>
            <w:pPr>
              <w:spacing w:after="0"/>
            </w:pPr>
            <w:r/>
            <w:r>
              <w:rPr>
                <w:rFonts w:ascii="Aptos" w:hAnsi="Aptos"/>
                <w:b w:val="0"/>
                <w:color w:val="111827"/>
                <w:sz w:val="15"/>
              </w:rPr>
              <w:t>S13 Invalid geometry</w:t>
            </w:r>
          </w:p>
        </w:tc>
        <w:tc>
          <w:tcPr>
            <w:tcW w:type="dxa" w:w="5112"/>
            <w:vAlign w:val="center"/>
          </w:tcPr>
          <w:p>
            <w:pPr>
              <w:spacing w:after="0"/>
            </w:pPr>
            <w:r/>
            <w:r>
              <w:rPr>
                <w:rFonts w:ascii="Aptos" w:hAnsi="Aptos"/>
                <w:b w:val="0"/>
                <w:color w:val="111827"/>
                <w:sz w:val="15"/>
              </w:rPr>
              <w:t>Repair/flag behavior.</w:t>
            </w:r>
          </w:p>
        </w:tc>
      </w:tr>
      <w:tr>
        <w:tc>
          <w:tcPr>
            <w:tcW w:type="dxa" w:w="5112"/>
            <w:vAlign w:val="center"/>
            <w:shd w:fill="F3F4F6"/>
          </w:tcPr>
          <w:p>
            <w:pPr>
              <w:spacing w:after="0"/>
            </w:pPr>
            <w:r/>
            <w:r>
              <w:rPr>
                <w:rFonts w:ascii="Aptos" w:hAnsi="Aptos"/>
                <w:b w:val="0"/>
                <w:color w:val="111827"/>
                <w:sz w:val="15"/>
              </w:rPr>
              <w:t>S14 Multi-hazard context</w:t>
            </w:r>
          </w:p>
        </w:tc>
        <w:tc>
          <w:tcPr>
            <w:tcW w:type="dxa" w:w="5112"/>
            <w:vAlign w:val="center"/>
            <w:shd w:fill="F3F4F6"/>
          </w:tcPr>
          <w:p>
            <w:pPr>
              <w:spacing w:after="0"/>
            </w:pPr>
            <w:r/>
            <w:r>
              <w:rPr>
                <w:rFonts w:ascii="Aptos" w:hAnsi="Aptos"/>
                <w:b w:val="0"/>
                <w:color w:val="111827"/>
                <w:sz w:val="15"/>
              </w:rPr>
              <w:t>Fire risk remains independent from other hazard risk.</w:t>
            </w:r>
          </w:p>
        </w:tc>
      </w:tr>
    </w:tbl>
    <w:p/>
    <w:p>
      <w:pPr>
        <w:pStyle w:val="Heading2"/>
      </w:pPr>
      <w:r>
        <w:t>32.2 Scenario metadata</w:t>
      </w:r>
    </w:p>
    <w:p>
      <w:r>
        <w:t>Every scenario must identify which variables are held constant and which are changed. This makes sensitivity tests interpretable.</w:t>
      </w:r>
    </w:p>
    <w:p>
      <w:pPr>
        <w:pStyle w:val="Heading1"/>
      </w:pPr>
      <w:r>
        <w:t>33. SIH Demo Behavior</w:t>
      </w:r>
    </w:p>
    <w:p>
      <w:pPr>
        <w:pStyle w:val="Heading2"/>
      </w:pPr>
      <w:r>
        <w:t>33.1 Fire demo narrative</w:t>
      </w:r>
    </w:p>
    <w:p>
      <w:pPr>
        <w:pStyle w:val="CodeBlock"/>
        <w:shd w:fill="F8FAFC"/>
      </w:pPr>
      <w:r>
        <w:t>REAL EVENT</w:t>
        <w:br/>
        <w:t xml:space="preserve">  ↓</w:t>
        <w:br/>
        <w:t>ESP32 detects validated fire evidence</w:t>
        <w:br/>
        <w:t xml:space="preserve">  ↓</w:t>
        <w:br/>
        <w:t>Incident becomes CONFIRMED/CRITICAL</w:t>
        <w:br/>
        <w:t xml:space="preserve">  ↓</w:t>
        <w:br/>
        <w:t>Master starts Fire Spread Engine</w:t>
        <w:br/>
        <w:t xml:space="preserve">  ↓</w:t>
        <w:br/>
        <w:t>terrain + fuel + moisture + wind</w:t>
        <w:br/>
        <w:t xml:space="preserve">  ↓</w:t>
        <w:br/>
        <w:t>directional ROS</w:t>
        <w:br/>
        <w:t xml:space="preserve">  ↓</w:t>
        <w:br/>
        <w:t>arrival-time field</w:t>
        <w:br/>
        <w:t xml:space="preserve">  ↓</w:t>
        <w:br/>
        <w:t>current footprint</w:t>
        <w:br/>
        <w:t xml:space="preserve">  ↓</w:t>
        <w:br/>
        <w:t>warning + projection</w:t>
        <w:br/>
        <w:t xml:space="preserve">  ↓</w:t>
        <w:br/>
        <w:t>risk heatmap</w:t>
        <w:br/>
        <w:t xml:space="preserve">  ↓</w:t>
        <w:br/>
        <w:t>affected population/infrastructure</w:t>
        <w:br/>
        <w:t xml:space="preserve">  ↓</w:t>
        <w:br/>
        <w:t>response recommendation</w:t>
        <w:br/>
        <w:t xml:space="preserve">  ↓</w:t>
        <w:br/>
        <w:t>authority dashboard + citizen alert</w:t>
        <w:br/>
      </w:r>
    </w:p>
    <w:p>
      <w:pPr>
        <w:pStyle w:val="Heading2"/>
      </w:pPr>
      <w:r>
        <w:t>33.2 Technical judge interaction</w:t>
      </w:r>
    </w:p>
    <w:p>
      <w:r>
        <w:t>The operator must be able to show the model rather than merely the animation: wind direction, terrain/fuel assumptions, current footprint, projection horizon, and the explanation that geometry is derived from the arrival-time field.</w:t>
      </w:r>
    </w:p>
    <w:p>
      <w:pPr>
        <w:pStyle w:val="Heading2"/>
      </w:pPr>
      <w:r>
        <w:t>33.3 LIVE→SIMULATION</w:t>
      </w:r>
    </w:p>
    <w:p>
      <w:r>
        <w:t>After the live event, switch to SIMULATION. A scenario generates telemetry through the standard ingestion path. The same Fire Spread page then renders the resulting incident. The fact that the screen and downstream outputs remain structurally identical is part of the proof that simulation is not a separate toy system.</w:t>
      </w:r>
    </w:p>
    <w:p>
      <w:pPr>
        <w:pStyle w:val="Heading1"/>
      </w:pPr>
      <w:r>
        <w:t>34. Explicit V1 Non-Goals</w:t>
      </w:r>
    </w:p>
    <w:tbl>
      <w:tblPr>
        <w:tblStyle w:val="TableGrid"/>
        <w:tblW w:type="auto" w:w="0"/>
        <w:jc w:val="center"/>
        <w:tblLook w:firstColumn="1" w:firstRow="1" w:lastColumn="0" w:lastRow="0" w:noHBand="0" w:noVBand="1" w:val="04A0"/>
      </w:tblPr>
      <w:tblGrid>
        <w:gridCol w:w="5112"/>
        <w:gridCol w:w="5112"/>
      </w:tblGrid>
      <w:tr>
        <w:trPr>
          <w:tblHeader/>
        </w:trPr>
        <w:tc>
          <w:tcPr>
            <w:tcW w:type="dxa" w:w="5112"/>
            <w:vAlign w:val="center"/>
            <w:shd w:fill="0B5A75"/>
          </w:tcPr>
          <w:p>
            <w:pPr>
              <w:spacing w:after="0"/>
            </w:pPr>
            <w:r/>
            <w:r>
              <w:rPr>
                <w:rFonts w:ascii="Aptos" w:hAnsi="Aptos"/>
                <w:b/>
                <w:color w:val="FFFFFF"/>
                <w:sz w:val="15"/>
              </w:rPr>
              <w:t>Feature</w:t>
            </w:r>
          </w:p>
        </w:tc>
        <w:tc>
          <w:tcPr>
            <w:tcW w:type="dxa" w:w="5112"/>
            <w:vAlign w:val="center"/>
            <w:shd w:fill="0B5A75"/>
          </w:tcPr>
          <w:p>
            <w:pPr>
              <w:spacing w:after="0"/>
            </w:pPr>
            <w:r/>
            <w:r>
              <w:rPr>
                <w:rFonts w:ascii="Aptos" w:hAnsi="Aptos"/>
                <w:b/>
                <w:color w:val="FFFFFF"/>
                <w:sz w:val="15"/>
              </w:rPr>
              <w:t>Decision</w:t>
            </w:r>
          </w:p>
        </w:tc>
      </w:tr>
      <w:tr>
        <w:tc>
          <w:tcPr>
            <w:tcW w:type="dxa" w:w="5112"/>
            <w:vAlign w:val="center"/>
          </w:tcPr>
          <w:p>
            <w:pPr>
              <w:spacing w:after="0"/>
            </w:pPr>
            <w:r/>
            <w:r>
              <w:rPr>
                <w:rFonts w:ascii="Aptos" w:hAnsi="Aptos"/>
                <w:b w:val="0"/>
                <w:color w:val="111827"/>
                <w:sz w:val="15"/>
              </w:rPr>
              <w:t>Full CFD / combustion physics</w:t>
            </w:r>
          </w:p>
        </w:tc>
        <w:tc>
          <w:tcPr>
            <w:tcW w:type="dxa" w:w="5112"/>
            <w:vAlign w:val="center"/>
          </w:tcPr>
          <w:p>
            <w:pPr>
              <w:spacing w:after="0"/>
            </w:pPr>
            <w:r/>
            <w:r>
              <w:rPr>
                <w:rFonts w:ascii="Aptos" w:hAnsi="Aptos"/>
                <w:b w:val="0"/>
                <w:color w:val="111827"/>
                <w:sz w:val="15"/>
              </w:rPr>
              <w:t>DO NOT BUILD.</w:t>
            </w:r>
          </w:p>
        </w:tc>
      </w:tr>
      <w:tr>
        <w:tc>
          <w:tcPr>
            <w:tcW w:type="dxa" w:w="5112"/>
            <w:vAlign w:val="center"/>
            <w:shd w:fill="F3F4F6"/>
          </w:tcPr>
          <w:p>
            <w:pPr>
              <w:spacing w:after="0"/>
            </w:pPr>
            <w:r/>
            <w:r>
              <w:rPr>
                <w:rFonts w:ascii="Aptos" w:hAnsi="Aptos"/>
                <w:b w:val="0"/>
                <w:color w:val="111827"/>
                <w:sz w:val="15"/>
              </w:rPr>
              <w:t>FIRETEC/WFDS-class simulation</w:t>
            </w:r>
          </w:p>
        </w:tc>
        <w:tc>
          <w:tcPr>
            <w:tcW w:type="dxa" w:w="5112"/>
            <w:vAlign w:val="center"/>
            <w:shd w:fill="F3F4F6"/>
          </w:tcPr>
          <w:p>
            <w:pPr>
              <w:spacing w:after="0"/>
            </w:pPr>
            <w:r/>
            <w:r>
              <w:rPr>
                <w:rFonts w:ascii="Aptos" w:hAnsi="Aptos"/>
                <w:b w:val="0"/>
                <w:color w:val="111827"/>
                <w:sz w:val="15"/>
              </w:rPr>
              <w:t>DO NOT BUILD.</w:t>
            </w:r>
          </w:p>
        </w:tc>
      </w:tr>
      <w:tr>
        <w:tc>
          <w:tcPr>
            <w:tcW w:type="dxa" w:w="5112"/>
            <w:vAlign w:val="center"/>
          </w:tcPr>
          <w:p>
            <w:pPr>
              <w:spacing w:after="0"/>
            </w:pPr>
            <w:r/>
            <w:r>
              <w:rPr>
                <w:rFonts w:ascii="Aptos" w:hAnsi="Aptos"/>
                <w:b w:val="0"/>
                <w:color w:val="111827"/>
                <w:sz w:val="15"/>
              </w:rPr>
              <w:t>Ember spotting/reignition</w:t>
            </w:r>
          </w:p>
        </w:tc>
        <w:tc>
          <w:tcPr>
            <w:tcW w:type="dxa" w:w="5112"/>
            <w:vAlign w:val="center"/>
          </w:tcPr>
          <w:p>
            <w:pPr>
              <w:spacing w:after="0"/>
            </w:pPr>
            <w:r/>
            <w:r>
              <w:rPr>
                <w:rFonts w:ascii="Aptos" w:hAnsi="Aptos"/>
                <w:b w:val="0"/>
                <w:color w:val="111827"/>
                <w:sz w:val="15"/>
              </w:rPr>
              <w:t>DO NOT BUILD.</w:t>
            </w:r>
          </w:p>
        </w:tc>
      </w:tr>
      <w:tr>
        <w:tc>
          <w:tcPr>
            <w:tcW w:type="dxa" w:w="5112"/>
            <w:vAlign w:val="center"/>
            <w:shd w:fill="F3F4F6"/>
          </w:tcPr>
          <w:p>
            <w:pPr>
              <w:spacing w:after="0"/>
            </w:pPr>
            <w:r/>
            <w:r>
              <w:rPr>
                <w:rFonts w:ascii="Aptos" w:hAnsi="Aptos"/>
                <w:b w:val="0"/>
                <w:color w:val="111827"/>
                <w:sz w:val="15"/>
              </w:rPr>
              <w:t>Dynamic full atmospheric fluid field</w:t>
            </w:r>
          </w:p>
        </w:tc>
        <w:tc>
          <w:tcPr>
            <w:tcW w:type="dxa" w:w="5112"/>
            <w:vAlign w:val="center"/>
            <w:shd w:fill="F3F4F6"/>
          </w:tcPr>
          <w:p>
            <w:pPr>
              <w:spacing w:after="0"/>
            </w:pPr>
            <w:r/>
            <w:r>
              <w:rPr>
                <w:rFonts w:ascii="Aptos" w:hAnsi="Aptos"/>
                <w:b w:val="0"/>
                <w:color w:val="111827"/>
                <w:sz w:val="15"/>
              </w:rPr>
              <w:t>DO NOT BUILD.</w:t>
            </w:r>
          </w:p>
        </w:tc>
      </w:tr>
      <w:tr>
        <w:tc>
          <w:tcPr>
            <w:tcW w:type="dxa" w:w="5112"/>
            <w:vAlign w:val="center"/>
          </w:tcPr>
          <w:p>
            <w:pPr>
              <w:spacing w:after="0"/>
            </w:pPr>
            <w:r/>
            <w:r>
              <w:rPr>
                <w:rFonts w:ascii="Aptos" w:hAnsi="Aptos"/>
                <w:b w:val="0"/>
                <w:color w:val="111827"/>
                <w:sz w:val="15"/>
              </w:rPr>
              <w:t>Full 13/40 fuel-model operational library</w:t>
            </w:r>
          </w:p>
        </w:tc>
        <w:tc>
          <w:tcPr>
            <w:tcW w:type="dxa" w:w="5112"/>
            <w:vAlign w:val="center"/>
          </w:tcPr>
          <w:p>
            <w:pPr>
              <w:spacing w:after="0"/>
            </w:pPr>
            <w:r/>
            <w:r>
              <w:rPr>
                <w:rFonts w:ascii="Aptos" w:hAnsi="Aptos"/>
                <w:b w:val="0"/>
                <w:color w:val="111827"/>
                <w:sz w:val="15"/>
              </w:rPr>
              <w:t>OUTSIDE V1; use simplified classified scheme.</w:t>
            </w:r>
          </w:p>
        </w:tc>
      </w:tr>
      <w:tr>
        <w:tc>
          <w:tcPr>
            <w:tcW w:type="dxa" w:w="5112"/>
            <w:vAlign w:val="center"/>
            <w:shd w:fill="F3F4F6"/>
          </w:tcPr>
          <w:p>
            <w:pPr>
              <w:spacing w:after="0"/>
            </w:pPr>
            <w:r/>
            <w:r>
              <w:rPr>
                <w:rFonts w:ascii="Aptos" w:hAnsi="Aptos"/>
                <w:b w:val="0"/>
                <w:color w:val="111827"/>
                <w:sz w:val="15"/>
              </w:rPr>
              <w:t>Full live satellite dependency</w:t>
            </w:r>
          </w:p>
        </w:tc>
        <w:tc>
          <w:tcPr>
            <w:tcW w:type="dxa" w:w="5112"/>
            <w:vAlign w:val="center"/>
            <w:shd w:fill="F3F4F6"/>
          </w:tcPr>
          <w:p>
            <w:pPr>
              <w:spacing w:after="0"/>
            </w:pPr>
            <w:r/>
            <w:r>
              <w:rPr>
                <w:rFonts w:ascii="Aptos" w:hAnsi="Aptos"/>
                <w:b w:val="0"/>
                <w:color w:val="111827"/>
                <w:sz w:val="15"/>
              </w:rPr>
              <w:t>DEFERRED.</w:t>
            </w:r>
          </w:p>
        </w:tc>
      </w:tr>
      <w:tr>
        <w:tc>
          <w:tcPr>
            <w:tcW w:type="dxa" w:w="5112"/>
            <w:vAlign w:val="center"/>
          </w:tcPr>
          <w:p>
            <w:pPr>
              <w:spacing w:after="0"/>
            </w:pPr>
            <w:r/>
            <w:r>
              <w:rPr>
                <w:rFonts w:ascii="Aptos" w:hAnsi="Aptos"/>
                <w:b w:val="0"/>
                <w:color w:val="111827"/>
                <w:sz w:val="15"/>
              </w:rPr>
              <w:t>3D globe/terrain</w:t>
            </w:r>
          </w:p>
        </w:tc>
        <w:tc>
          <w:tcPr>
            <w:tcW w:type="dxa" w:w="5112"/>
            <w:vAlign w:val="center"/>
          </w:tcPr>
          <w:p>
            <w:pPr>
              <w:spacing w:after="0"/>
            </w:pPr>
            <w:r/>
            <w:r>
              <w:rPr>
                <w:rFonts w:ascii="Aptos" w:hAnsi="Aptos"/>
                <w:b w:val="0"/>
                <w:color w:val="111827"/>
                <w:sz w:val="15"/>
              </w:rPr>
              <w:t>DO NOT BUILD for V1.</w:t>
            </w:r>
          </w:p>
        </w:tc>
      </w:tr>
      <w:tr>
        <w:tc>
          <w:tcPr>
            <w:tcW w:type="dxa" w:w="5112"/>
            <w:vAlign w:val="center"/>
            <w:shd w:fill="F3F4F6"/>
          </w:tcPr>
          <w:p>
            <w:pPr>
              <w:spacing w:after="0"/>
            </w:pPr>
            <w:r/>
            <w:r>
              <w:rPr>
                <w:rFonts w:ascii="Aptos" w:hAnsi="Aptos"/>
                <w:b w:val="0"/>
                <w:color w:val="111827"/>
                <w:sz w:val="15"/>
              </w:rPr>
              <w:t>Custom vector-tile pipeline</w:t>
            </w:r>
          </w:p>
        </w:tc>
        <w:tc>
          <w:tcPr>
            <w:tcW w:type="dxa" w:w="5112"/>
            <w:vAlign w:val="center"/>
            <w:shd w:fill="F3F4F6"/>
          </w:tcPr>
          <w:p>
            <w:pPr>
              <w:spacing w:after="0"/>
            </w:pPr>
            <w:r/>
            <w:r>
              <w:rPr>
                <w:rFonts w:ascii="Aptos" w:hAnsi="Aptos"/>
                <w:b w:val="0"/>
                <w:color w:val="111827"/>
                <w:sz w:val="15"/>
              </w:rPr>
              <w:t>DO NOT BUILD for demo scale.</w:t>
            </w:r>
          </w:p>
        </w:tc>
      </w:tr>
      <w:tr>
        <w:tc>
          <w:tcPr>
            <w:tcW w:type="dxa" w:w="5112"/>
            <w:vAlign w:val="center"/>
          </w:tcPr>
          <w:p>
            <w:pPr>
              <w:spacing w:after="0"/>
            </w:pPr>
            <w:r/>
            <w:r>
              <w:rPr>
                <w:rFonts w:ascii="Aptos" w:hAnsi="Aptos"/>
                <w:b w:val="0"/>
                <w:color w:val="111827"/>
                <w:sz w:val="15"/>
              </w:rPr>
              <w:t>Pixel-perfect imitation of a reference video without matching physics</w:t>
            </w:r>
          </w:p>
        </w:tc>
        <w:tc>
          <w:tcPr>
            <w:tcW w:type="dxa" w:w="5112"/>
            <w:vAlign w:val="center"/>
          </w:tcPr>
          <w:p>
            <w:pPr>
              <w:spacing w:after="0"/>
            </w:pPr>
            <w:r/>
            <w:r>
              <w:rPr>
                <w:rFonts w:ascii="Aptos" w:hAnsi="Aptos"/>
                <w:b w:val="0"/>
                <w:color w:val="111827"/>
                <w:sz w:val="15"/>
              </w:rPr>
              <w:t>DO NOT BUILD.</w:t>
            </w:r>
          </w:p>
        </w:tc>
      </w:tr>
    </w:tbl>
    <w:p/>
    <w:p>
      <w:pPr>
        <w:pStyle w:val="Heading1"/>
      </w:pPr>
      <w:r>
        <w:t>35. Fire/Geospatial Invariants</w:t>
      </w:r>
    </w:p>
    <w:p>
      <w:r>
        <w:rPr>
          <w:b/>
          <w:color w:val="0B5A75"/>
        </w:rPr>
        <w:t xml:space="preserve">🔒 01  </w:t>
      </w:r>
      <w:r>
        <w:t>Fire spread is computed from an arrival-time field, not a decorative animation.</w:t>
      </w:r>
    </w:p>
    <w:p>
      <w:r>
        <w:rPr>
          <w:b/>
          <w:color w:val="0B5A75"/>
        </w:rPr>
        <w:t xml:space="preserve">🔒 02  </w:t>
      </w:r>
      <w:r>
        <w:t>Meteorological wind FROM direction is converted to TO before propagation.</w:t>
      </w:r>
    </w:p>
    <w:p>
      <w:r>
        <w:rPr>
          <w:b/>
          <w:color w:val="0B5A75"/>
        </w:rPr>
        <w:t xml:space="preserve">🔒 03  </w:t>
      </w:r>
      <w:r>
        <w:t>Diagonal grid distance is Δ√2.</w:t>
      </w:r>
    </w:p>
    <w:p>
      <w:r>
        <w:rPr>
          <w:b/>
          <w:color w:val="0B5A75"/>
        </w:rPr>
        <w:t xml:space="preserve">🔒 04  </w:t>
      </w:r>
      <w:r>
        <w:t>Wind and slope are treated directionally through a common vector/resultant model.</w:t>
      </w:r>
    </w:p>
    <w:p>
      <w:r>
        <w:rPr>
          <w:b/>
          <w:color w:val="0B5A75"/>
        </w:rPr>
        <w:t xml:space="preserve">🔒 05  </w:t>
      </w:r>
      <w:r>
        <w:t>Base ROS, moisture response and directional response remain explicit and configurable.</w:t>
      </w:r>
    </w:p>
    <w:p>
      <w:r>
        <w:rPr>
          <w:b/>
          <w:color w:val="0B5A75"/>
        </w:rPr>
        <w:t xml:space="preserve">🔒 06  </w:t>
      </w:r>
      <w:r>
        <w:t>Non-burnable cells have zero propagation and route the front around barriers.</w:t>
      </w:r>
    </w:p>
    <w:p>
      <w:r>
        <w:rPr>
          <w:b/>
          <w:color w:val="0B5A75"/>
        </w:rPr>
        <w:t xml:space="preserve">🔒 07  </w:t>
      </w:r>
      <w:r>
        <w:t>Physical footprint is arrival-time-derived.</w:t>
      </w:r>
    </w:p>
    <w:p>
      <w:r>
        <w:rPr>
          <w:b/>
          <w:color w:val="0B5A75"/>
        </w:rPr>
        <w:t xml:space="preserve">🔒 08  </w:t>
      </w:r>
      <w:r>
        <w:t>Operational buffer is a separate policy layer.</w:t>
      </w:r>
    </w:p>
    <w:p>
      <w:r>
        <w:rPr>
          <w:b/>
          <w:color w:val="0B5A75"/>
        </w:rPr>
        <w:t xml:space="preserve">🔒 09  </w:t>
      </w:r>
      <w:r>
        <w:t>Warning/projection are thresholded from the same arrival-time field.</w:t>
      </w:r>
    </w:p>
    <w:p>
      <w:r>
        <w:rPr>
          <w:b/>
          <w:color w:val="0B5A75"/>
        </w:rPr>
        <w:t xml:space="preserve">🔒 10  </w:t>
      </w:r>
      <w:r>
        <w:t>Projection is conditional on stated assumptions.</w:t>
      </w:r>
    </w:p>
    <w:p>
      <w:r>
        <w:rPr>
          <w:b/>
          <w:color w:val="0B5A75"/>
        </w:rPr>
        <w:t xml:space="preserve">🔒 11  </w:t>
      </w:r>
      <w:r>
        <w:t>Environmental changes trigger recomputation from current perimeter for future propagation.</w:t>
      </w:r>
    </w:p>
    <w:p>
      <w:r>
        <w:rPr>
          <w:b/>
          <w:color w:val="0B5A75"/>
        </w:rPr>
        <w:t xml:space="preserve">🔒 12  </w:t>
      </w:r>
      <w:r>
        <w:t>Simulation and live use the same fire-spread engine.</w:t>
      </w:r>
    </w:p>
    <w:p>
      <w:r>
        <w:rPr>
          <w:b/>
          <w:color w:val="0B5A75"/>
        </w:rPr>
        <w:t xml:space="preserve">🔒 13  </w:t>
      </w:r>
      <w:r>
        <w:t>Area/distance/buffer calculations use an appropriate metric CRS/geodesic method.</w:t>
      </w:r>
    </w:p>
    <w:p>
      <w:r>
        <w:rPr>
          <w:b/>
          <w:color w:val="0B5A75"/>
        </w:rPr>
        <w:t xml:space="preserve">🔒 14  </w:t>
      </w:r>
      <w:r>
        <w:t>Polygon outputs are validity-checked.</w:t>
      </w:r>
    </w:p>
    <w:p>
      <w:r>
        <w:rPr>
          <w:b/>
          <w:color w:val="0B5A75"/>
        </w:rPr>
        <w:t xml:space="preserve">🔒 15  </w:t>
      </w:r>
      <w:r>
        <w:t>MultiPolygon is supported.</w:t>
      </w:r>
    </w:p>
    <w:p>
      <w:r>
        <w:rPr>
          <w:b/>
          <w:color w:val="0B5A75"/>
        </w:rPr>
        <w:t xml:space="preserve">🔒 16  </w:t>
      </w:r>
      <w:r>
        <w:t>Display simplification never changes scientific/source geometry.</w:t>
      </w:r>
    </w:p>
    <w:p>
      <w:r>
        <w:rPr>
          <w:b/>
          <w:color w:val="0B5A75"/>
        </w:rPr>
        <w:t xml:space="preserve">🔒 17  </w:t>
      </w:r>
      <w:r>
        <w:t>Risk heatmap is an operational index, not a probability.</w:t>
      </w:r>
    </w:p>
    <w:p>
      <w:r>
        <w:rPr>
          <w:b/>
          <w:color w:val="0B5A75"/>
        </w:rPr>
        <w:t xml:space="preserve">🔒 18  </w:t>
      </w:r>
      <w:r>
        <w:t>Population/infrastructure exposure does not redefine physical hazard risk.</w:t>
      </w:r>
    </w:p>
    <w:p>
      <w:r>
        <w:rPr>
          <w:b/>
          <w:color w:val="0B5A75"/>
        </w:rPr>
        <w:t xml:space="preserve">🔒 19  </w:t>
      </w:r>
      <w:r>
        <w:t>Fire and other hazard risk surfaces remain independently represented.</w:t>
      </w:r>
    </w:p>
    <w:p>
      <w:r>
        <w:rPr>
          <w:b/>
          <w:color w:val="0B5A75"/>
        </w:rPr>
        <w:t xml:space="preserve">🔒 20  </w:t>
      </w:r>
      <w:r>
        <w:t>Missing geodata produces explicit degraded/unknown behavior.</w:t>
      </w:r>
    </w:p>
    <w:p>
      <w:r>
        <w:rPr>
          <w:b/>
          <w:color w:val="0B5A75"/>
        </w:rPr>
        <w:t xml:space="preserve">🔒 21  </w:t>
      </w:r>
      <w:r>
        <w:t>Fire spread runs on Master/cloud compute, never on ESP32.</w:t>
      </w:r>
    </w:p>
    <w:p>
      <w:r>
        <w:rPr>
          <w:b/>
          <w:color w:val="0B5A75"/>
        </w:rPr>
        <w:t xml:space="preserve">🔒 22  </w:t>
      </w:r>
      <w:r>
        <w:t>Every run records parameter and data provenance sufficient for reproduction.</w:t>
      </w:r>
    </w:p>
    <w:p>
      <w:pPr>
        <w:pStyle w:val="Heading1"/>
      </w:pPr>
      <w:r>
        <w:t>36. Implementation Readiness Checklist</w:t>
      </w:r>
    </w:p>
    <w:p>
      <w:r>
        <w:rPr>
          <w:b/>
          <w:color w:val="0B5A75"/>
        </w:rPr>
        <w:t xml:space="preserve">☐ 01  </w:t>
      </w:r>
      <w:r>
        <w:t>Demo-region CRS selected and persisted.</w:t>
      </w:r>
    </w:p>
    <w:p>
      <w:r>
        <w:rPr>
          <w:b/>
          <w:color w:val="0B5A75"/>
        </w:rPr>
        <w:t xml:space="preserve">☐ 02  </w:t>
      </w:r>
      <w:r>
        <w:t>DEM dataset selected, preprocessed and provenance recorded.</w:t>
      </w:r>
    </w:p>
    <w:p>
      <w:r>
        <w:rPr>
          <w:b/>
          <w:color w:val="0B5A75"/>
        </w:rPr>
        <w:t xml:space="preserve">☐ 03  </w:t>
      </w:r>
      <w:r>
        <w:t>Simplified fuel map created, versioned and labeled.</w:t>
      </w:r>
    </w:p>
    <w:p>
      <w:r>
        <w:rPr>
          <w:b/>
          <w:color w:val="0B5A75"/>
        </w:rPr>
        <w:t xml:space="preserve">☐ 04  </w:t>
      </w:r>
      <w:r>
        <w:t>Moisture proxy defined and parameterized.</w:t>
      </w:r>
    </w:p>
    <w:p>
      <w:r>
        <w:rPr>
          <w:b/>
          <w:color w:val="0B5A75"/>
        </w:rPr>
        <w:t xml:space="preserve">☐ 05  </w:t>
      </w:r>
      <w:r>
        <w:t>Wind source defined; FROM→TO verified in code.</w:t>
      </w:r>
    </w:p>
    <w:p>
      <w:r>
        <w:rPr>
          <w:b/>
          <w:color w:val="0B5A75"/>
        </w:rPr>
        <w:t xml:space="preserve">☐ 06  </w:t>
      </w:r>
      <w:r>
        <w:t>Midflame wind adjustment parameter exists.</w:t>
      </w:r>
    </w:p>
    <w:p>
      <w:r>
        <w:rPr>
          <w:b/>
          <w:color w:val="0B5A75"/>
        </w:rPr>
        <w:t xml:space="preserve">☐ 07  </w:t>
      </w:r>
      <w:r>
        <w:t>Directional wind+slope vector model implemented.</w:t>
      </w:r>
    </w:p>
    <w:p>
      <w:r>
        <w:rPr>
          <w:b/>
          <w:color w:val="0B5A75"/>
        </w:rPr>
        <w:t xml:space="preserve">☐ 08  </w:t>
      </w:r>
      <w:r>
        <w:t>Directional ROS/ellipse function implemented and unit-tested.</w:t>
      </w:r>
    </w:p>
    <w:p>
      <w:r>
        <w:rPr>
          <w:b/>
          <w:color w:val="0B5A75"/>
        </w:rPr>
        <w:t xml:space="preserve">☐ 09  </w:t>
      </w:r>
      <w:r>
        <w:t>8-neighbor grid implemented with Δ and Δ√2 distances.</w:t>
      </w:r>
    </w:p>
    <w:p>
      <w:r>
        <w:rPr>
          <w:b/>
          <w:color w:val="0B5A75"/>
        </w:rPr>
        <w:t xml:space="preserve">☐ 10  </w:t>
      </w:r>
      <w:r>
        <w:t>Priority-queue propagation implemented.</w:t>
      </w:r>
    </w:p>
    <w:p>
      <w:r>
        <w:rPr>
          <w:b/>
          <w:color w:val="0B5A75"/>
        </w:rPr>
        <w:t xml:space="preserve">☐ 11  </w:t>
      </w:r>
      <w:r>
        <w:t>Arrival-time field persisted/recoverable.</w:t>
      </w:r>
    </w:p>
    <w:p>
      <w:r>
        <w:rPr>
          <w:b/>
          <w:color w:val="0B5A75"/>
        </w:rPr>
        <w:t xml:space="preserve">☐ 12  </w:t>
      </w:r>
      <w:r>
        <w:t>Current/warning/projection generated only from arrival field.</w:t>
      </w:r>
    </w:p>
    <w:p>
      <w:r>
        <w:rPr>
          <w:b/>
          <w:color w:val="0B5A75"/>
        </w:rPr>
        <w:t xml:space="preserve">☐ 13  </w:t>
      </w:r>
      <w:r>
        <w:t>Mid-run environment recompute implemented.</w:t>
      </w:r>
    </w:p>
    <w:p>
      <w:r>
        <w:rPr>
          <w:b/>
          <w:color w:val="0B5A75"/>
        </w:rPr>
        <w:t xml:space="preserve">☐ 14  </w:t>
      </w:r>
      <w:r>
        <w:t>Non-burnable routing tested.</w:t>
      </w:r>
    </w:p>
    <w:p>
      <w:r>
        <w:rPr>
          <w:b/>
          <w:color w:val="0B5A75"/>
        </w:rPr>
        <w:t xml:space="preserve">☐ 15  </w:t>
      </w:r>
      <w:r>
        <w:t>MultiPolygon supported.</w:t>
      </w:r>
    </w:p>
    <w:p>
      <w:r>
        <w:rPr>
          <w:b/>
          <w:color w:val="0B5A75"/>
        </w:rPr>
        <w:t xml:space="preserve">☐ 16  </w:t>
      </w:r>
      <w:r>
        <w:t>Geometry validity/repair implemented.</w:t>
      </w:r>
    </w:p>
    <w:p>
      <w:r>
        <w:rPr>
          <w:b/>
          <w:color w:val="0B5A75"/>
        </w:rPr>
        <w:t xml:space="preserve">☐ 17  </w:t>
      </w:r>
      <w:r>
        <w:t>Physical footprint and operational buffer are separate outputs.</w:t>
      </w:r>
    </w:p>
    <w:p>
      <w:r>
        <w:rPr>
          <w:b/>
          <w:color w:val="0B5A75"/>
        </w:rPr>
        <w:t xml:space="preserve">☐ 18  </w:t>
      </w:r>
      <w:r>
        <w:t>Hazard Risk Surface implemented separately from footprint/exposure.</w:t>
      </w:r>
    </w:p>
    <w:p>
      <w:r>
        <w:rPr>
          <w:b/>
          <w:color w:val="0B5A75"/>
        </w:rPr>
        <w:t xml:space="preserve">☐ 19  </w:t>
      </w:r>
      <w:r>
        <w:t>Risk surface clearly labeled non-probabilistic.</w:t>
      </w:r>
    </w:p>
    <w:p>
      <w:r>
        <w:rPr>
          <w:b/>
          <w:color w:val="0B5A75"/>
        </w:rPr>
        <w:t xml:space="preserve">☐ 20  </w:t>
      </w:r>
      <w:r>
        <w:t>LIVE and SIMULATION use identical spread engine.</w:t>
      </w:r>
    </w:p>
    <w:p>
      <w:r>
        <w:rPr>
          <w:b/>
          <w:color w:val="0B5A75"/>
        </w:rPr>
        <w:t xml:space="preserve">☐ 21  </w:t>
      </w:r>
      <w:r>
        <w:t>Runtime benchmark completed on actual Master target.</w:t>
      </w:r>
    </w:p>
    <w:p>
      <w:r>
        <w:rPr>
          <w:b/>
          <w:color w:val="0B5A75"/>
        </w:rPr>
        <w:t xml:space="preserve">☐ 22  </w:t>
      </w:r>
      <w:r>
        <w:t>All mandatory GEO-* tests pass.</w:t>
      </w:r>
    </w:p>
    <w:p>
      <w:pPr>
        <w:pStyle w:val="Heading1"/>
      </w:pPr>
      <w:r>
        <w:t>37. Source &amp; Review Basis</w:t>
      </w:r>
    </w:p>
    <w:p>
      <w:r>
        <w:t>This final specification incorporates the prior NexAlert fire/geospatial design and the adversarial review. The review explicitly confirmed that the arrival-time/event-based approach is appropriate for the SIH scope, while identifying concrete corrections: wind FROM→TO conversion, diagonal √2 distance, vector wind+slope combination, projected CRS, mid-run future-wavefront recomputation, MultiPolygon support, geometry validity repair, operational-buffer separation, and independent hazard risk layers. fileciteturn19file1 fileciteturn19file16</w:t>
      </w:r>
    </w:p>
    <w:p>
      <w:r>
        <w:t>The dashboard reference further establishes that the Fire Spread page must render the same backend arrival-time solution rather than inventing a separate visual animation, and that current/warning/projection plus risk/fuel/terrain overlays are derived from the model outputs. fileciteturn19file2 fileciteturn19file13</w:t>
      </w:r>
    </w:p>
    <w:p>
      <w:r>
        <w:t>The architecture baseline also establishes that external satellite data is additive/deferred rather than a dependency for minute-scale local decisions, and that the V1 fire pathway is manually configured/calibrated rather than a trained classifier. fileciteturn19file15</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NexAlert — FINAL 05 — Fire Spread, Geospatial Simulation, Affected Area &amp; Risk/Heatmap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A7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82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1182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right="259"/>
    </w:pPr>
    <w:rPr>
      <w:rFonts w:ascii="Consolas" w:hAnsi="Consolas"/>
      <w:color w:val="111827"/>
      <w:sz w:val="15"/>
    </w:rPr>
  </w:style>
  <w:style w:type="paragraph" w:customStyle="1" w:styleId="SmallNote">
    <w:name w:val="Small Note"/>
    <w:rPr>
      <w:rFonts w:ascii="Aptos" w:hAnsi="Aptos"/>
      <w:color w:val="6B728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