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2" w:lineRule="auto"/>
        <w:jc w:val="center"/>
      </w:pPr>
      <w:r>
        <w:rPr>
          <w:b/>
          <w:sz w:val="28"/>
        </w:rPr>
        <w:t>NEXALERT</w:t>
      </w:r>
    </w:p>
    <w:p>
      <w:pPr>
        <w:pStyle w:val="Title"/>
        <w:spacing w:after="80" w:line="252" w:lineRule="auto"/>
        <w:jc w:val="center"/>
      </w:pPr>
      <w:r>
        <w:t>UI/UX Design System &amp; Visual Language</w:t>
      </w:r>
    </w:p>
    <w:p>
      <w:pPr>
        <w:spacing w:after="80" w:line="252" w:lineRule="auto"/>
        <w:jc w:val="center"/>
      </w:pPr>
      <w:r>
        <w:rPr>
          <w:sz w:val="24"/>
        </w:rPr>
        <w:t>Authority Dashboard + Citizen Safety UI + Offline Emergency Experience</w:t>
      </w:r>
    </w:p>
    <w:p>
      <w:pPr>
        <w:spacing w:after="80" w:line="252" w:lineRule="auto"/>
        <w:jc w:val="center"/>
      </w:pPr>
      <w:r>
        <w:rPr>
          <w:i/>
          <w:sz w:val="20"/>
        </w:rPr>
        <w:t>Implementation-ready design contract for SIH 2026 prototype and scalable product architecture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0"/>
          </w:tcPr>
          <w:p>
            <w:r/>
            <w:r>
              <w:rPr>
                <w:b/>
                <w:sz w:val="18"/>
              </w:rPr>
              <w:t>Document</w:t>
            </w:r>
          </w:p>
        </w:tc>
        <w:tc>
          <w:tcPr>
            <w:tcW w:type="dxa" w:w="5112"/>
            <w:vAlign w:val="center"/>
          </w:tcPr>
          <w:p>
            <w:r/>
            <w:r>
              <w:rPr>
                <w:b w:val="0"/>
                <w:sz w:val="18"/>
              </w:rPr>
              <w:t>12 — UI/UX Design System &amp; Visual Language</w:t>
            </w:r>
          </w:p>
        </w:tc>
      </w:tr>
      <w:tr>
        <w:tc>
          <w:tcPr>
            <w:tcW w:type="dxa" w:w="5112"/>
            <w:vAlign w:val="center"/>
            <w:shd w:fill="D9EAF0"/>
          </w:tcPr>
          <w:p>
            <w:r/>
            <w:r>
              <w:rPr>
                <w:b/>
                <w:sz w:val="18"/>
              </w:rPr>
              <w:t>Status</w:t>
            </w:r>
          </w:p>
        </w:tc>
        <w:tc>
          <w:tcPr>
            <w:tcW w:type="dxa" w:w="5112"/>
            <w:vAlign w:val="center"/>
          </w:tcPr>
          <w:p>
            <w:r/>
            <w:r>
              <w:rPr>
                <w:b w:val="0"/>
                <w:sz w:val="18"/>
              </w:rPr>
              <w:t>FINAL / LOCKED BASELINE</w:t>
            </w:r>
          </w:p>
        </w:tc>
      </w:tr>
      <w:tr>
        <w:tc>
          <w:tcPr>
            <w:tcW w:type="dxa" w:w="5112"/>
            <w:vAlign w:val="center"/>
            <w:shd w:fill="D9EAF0"/>
          </w:tcPr>
          <w:p>
            <w:r/>
            <w:r>
              <w:rPr>
                <w:b/>
                <w:sz w:val="18"/>
              </w:rPr>
              <w:t>Primary products</w:t>
            </w:r>
          </w:p>
        </w:tc>
        <w:tc>
          <w:tcPr>
            <w:tcW w:type="dxa" w:w="5112"/>
            <w:vAlign w:val="center"/>
          </w:tcPr>
          <w:p>
            <w:r/>
            <w:r>
              <w:rPr>
                <w:b w:val="0"/>
                <w:sz w:val="18"/>
              </w:rPr>
              <w:t>Authority Dashboard, Citizen Safety UI, Offline Emergency Portal</w:t>
            </w:r>
          </w:p>
        </w:tc>
      </w:tr>
      <w:tr>
        <w:tc>
          <w:tcPr>
            <w:tcW w:type="dxa" w:w="5112"/>
            <w:vAlign w:val="center"/>
            <w:shd w:fill="D9EAF0"/>
          </w:tcPr>
          <w:p>
            <w:r/>
            <w:r>
              <w:rPr>
                <w:b/>
                <w:sz w:val="18"/>
              </w:rPr>
              <w:t>Design priorities</w:t>
            </w:r>
          </w:p>
        </w:tc>
        <w:tc>
          <w:tcPr>
            <w:tcW w:type="dxa" w:w="5112"/>
            <w:vAlign w:val="center"/>
          </w:tcPr>
          <w:p>
            <w:r/>
            <w:r>
              <w:rPr>
                <w:b w:val="0"/>
                <w:sz w:val="18"/>
              </w:rPr>
              <w:t>Clarity, urgency, trust, accessibility, resilience, operational speed</w:t>
            </w:r>
          </w:p>
        </w:tc>
      </w:tr>
      <w:tr>
        <w:tc>
          <w:tcPr>
            <w:tcW w:type="dxa" w:w="5112"/>
            <w:vAlign w:val="center"/>
            <w:shd w:fill="D9EAF0"/>
          </w:tcPr>
          <w:p>
            <w:r/>
            <w:r>
              <w:rPr>
                <w:b/>
                <w:sz w:val="18"/>
              </w:rPr>
              <w:t>Source of truth</w:t>
            </w:r>
          </w:p>
        </w:tc>
        <w:tc>
          <w:tcPr>
            <w:tcW w:type="dxa" w:w="5112"/>
            <w:vAlign w:val="center"/>
          </w:tcPr>
          <w:p>
            <w:r/>
            <w:r>
              <w:rPr>
                <w:b w:val="0"/>
                <w:sz w:val="18"/>
              </w:rPr>
              <w:t>Master Architecture + finalized subsystem specifications 01–11</w:t>
            </w:r>
          </w:p>
        </w:tc>
      </w:tr>
    </w:tbl>
    <w:p>
      <w:pPr>
        <w:spacing w:after="80" w:line="252" w:lineRule="auto"/>
      </w:pPr>
    </w:p>
    <w:p>
      <w:pPr>
        <w:spacing w:after="80" w:line="252" w:lineRule="auto"/>
        <w:jc w:val="center"/>
      </w:pPr>
      <w:r>
        <w:rPr>
          <w:b/>
          <w:sz w:val="22"/>
        </w:rPr>
        <w:t>NON-NEGOTIABLE UX RULE</w:t>
      </w:r>
    </w:p>
    <w:p>
      <w:pPr>
        <w:spacing w:after="80" w:line="252" w:lineRule="auto"/>
        <w:jc w:val="center"/>
      </w:pPr>
      <w:r>
        <w:rPr>
          <w:b/>
        </w:rPr>
        <w:t>The interface must make the system’s certainty, uncertainty, current state, and next action obvious. It must never manufacture confidence through visual polish.</w:t>
      </w:r>
    </w:p>
    <w:p>
      <w:pPr>
        <w:spacing w:after="80" w:line="252" w:lineRule="auto"/>
      </w:pPr>
      <w:r>
        <w:br w:type="page"/>
      </w:r>
    </w:p>
    <w:p>
      <w:pPr>
        <w:pStyle w:val="Heading1"/>
        <w:spacing w:after="80" w:line="252" w:lineRule="auto"/>
      </w:pPr>
      <w:r>
        <w:t>1. Purpose and Design Contract</w:t>
      </w:r>
    </w:p>
    <w:p>
      <w:pPr>
        <w:spacing w:after="80" w:line="252" w:lineRule="auto"/>
      </w:pPr>
      <w:r>
        <w:t>This document defines the visual language, information hierarchy, interaction model, component vocabulary, accessibility requirements, responsive behavior, offline behavior, and implementation mapping for NexAlert. It is a design-system contract rather than a mood board. Frontend work must implement these rules consistently across authority and citizen surfaces.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D9EAF0"/>
          </w:tcPr>
          <w:p>
            <w:r/>
            <w:r>
              <w:rPr>
                <w:b/>
                <w:sz w:val="18"/>
              </w:rPr>
              <w:t>Principle</w:t>
            </w:r>
          </w:p>
        </w:tc>
        <w:tc>
          <w:tcPr>
            <w:tcW w:type="dxa" w:w="3408"/>
            <w:vAlign w:val="center"/>
            <w:shd w:fill="D9EAF0"/>
          </w:tcPr>
          <w:p>
            <w:r/>
            <w:r>
              <w:rPr>
                <w:b/>
                <w:sz w:val="18"/>
              </w:rPr>
              <w:t>Required behavior</w:t>
            </w:r>
          </w:p>
        </w:tc>
        <w:tc>
          <w:tcPr>
            <w:tcW w:type="dxa" w:w="3408"/>
            <w:vAlign w:val="center"/>
            <w:shd w:fill="D9EAF0"/>
          </w:tcPr>
          <w:p>
            <w:r/>
            <w:r>
              <w:rPr>
                <w:b/>
                <w:sz w:val="18"/>
              </w:rPr>
              <w:t>Anti-pattern</w:t>
            </w:r>
          </w:p>
        </w:tc>
      </w:tr>
      <w:tr>
        <w:tc>
          <w:tcPr>
            <w:tcW w:type="dxa" w:w="3408"/>
            <w:vAlign w:val="center"/>
          </w:tcPr>
          <w:p>
            <w:r/>
            <w:r>
              <w:rPr>
                <w:b w:val="0"/>
                <w:sz w:val="17"/>
              </w:rPr>
              <w:t>Operational clarity</w:t>
            </w:r>
          </w:p>
        </w:tc>
        <w:tc>
          <w:tcPr>
            <w:tcW w:type="dxa" w:w="3408"/>
            <w:vAlign w:val="center"/>
          </w:tcPr>
          <w:p>
            <w:r/>
            <w:r>
              <w:rPr>
                <w:b w:val="0"/>
                <w:sz w:val="17"/>
              </w:rPr>
              <w:t>Show what is happening, how fresh it is, how trustworthy the evidence is, and what action is available.</w:t>
            </w:r>
          </w:p>
        </w:tc>
        <w:tc>
          <w:tcPr>
            <w:tcW w:type="dxa" w:w="3408"/>
            <w:vAlign w:val="center"/>
          </w:tcPr>
          <w:p>
            <w:r/>
            <w:r>
              <w:rPr>
                <w:b w:val="0"/>
                <w:sz w:val="17"/>
              </w:rPr>
              <w:t>Decorative dashboards that hide decision-critical information.</w:t>
            </w:r>
          </w:p>
        </w:tc>
      </w:tr>
      <w:tr>
        <w:tc>
          <w:tcPr>
            <w:tcW w:type="dxa" w:w="3408"/>
            <w:vAlign w:val="center"/>
          </w:tcPr>
          <w:p>
            <w:r/>
            <w:r>
              <w:rPr>
                <w:b w:val="0"/>
                <w:sz w:val="17"/>
              </w:rPr>
              <w:t>Honest uncertainty</w:t>
            </w:r>
          </w:p>
        </w:tc>
        <w:tc>
          <w:tcPr>
            <w:tcW w:type="dxa" w:w="3408"/>
            <w:vAlign w:val="center"/>
          </w:tcPr>
          <w:p>
            <w:r/>
            <w:r>
              <w:rPr>
                <w:b w:val="0"/>
                <w:sz w:val="17"/>
              </w:rPr>
              <w:t>Use Information Condition GOOD / DEGRADED / UNKNOWN and confidence explanations where appropriate.</w:t>
            </w:r>
          </w:p>
        </w:tc>
        <w:tc>
          <w:tcPr>
            <w:tcW w:type="dxa" w:w="3408"/>
            <w:vAlign w:val="center"/>
          </w:tcPr>
          <w:p>
            <w:r/>
            <w:r>
              <w:rPr>
                <w:b w:val="0"/>
                <w:sz w:val="17"/>
              </w:rPr>
              <w:t>Turning weak evidence into green/red certainty.</w:t>
            </w:r>
          </w:p>
        </w:tc>
      </w:tr>
      <w:tr>
        <w:tc>
          <w:tcPr>
            <w:tcW w:type="dxa" w:w="3408"/>
            <w:vAlign w:val="center"/>
          </w:tcPr>
          <w:p>
            <w:r/>
            <w:r>
              <w:rPr>
                <w:b w:val="0"/>
                <w:sz w:val="17"/>
              </w:rPr>
              <w:t>Emergency first</w:t>
            </w:r>
          </w:p>
        </w:tc>
        <w:tc>
          <w:tcPr>
            <w:tcW w:type="dxa" w:w="3408"/>
            <w:vAlign w:val="center"/>
          </w:tcPr>
          <w:p>
            <w:r/>
            <w:r>
              <w:rPr>
                <w:b w:val="0"/>
                <w:sz w:val="17"/>
              </w:rPr>
              <w:t>Hazard, severity/state, distance/direction, freshness, and primary action lead the citizen emergency viewport.</w:t>
            </w:r>
          </w:p>
        </w:tc>
        <w:tc>
          <w:tcPr>
            <w:tcW w:type="dxa" w:w="3408"/>
            <w:vAlign w:val="center"/>
          </w:tcPr>
          <w:p>
            <w:r/>
            <w:r>
              <w:rPr>
                <w:b w:val="0"/>
                <w:sz w:val="17"/>
              </w:rPr>
              <w:t>Making users scroll through analytics before seeing the action.</w:t>
            </w:r>
          </w:p>
        </w:tc>
      </w:tr>
      <w:tr>
        <w:tc>
          <w:tcPr>
            <w:tcW w:type="dxa" w:w="3408"/>
            <w:vAlign w:val="center"/>
          </w:tcPr>
          <w:p>
            <w:r/>
            <w:r>
              <w:rPr>
                <w:b w:val="0"/>
                <w:sz w:val="17"/>
              </w:rPr>
              <w:t>Human authority</w:t>
            </w:r>
          </w:p>
        </w:tc>
        <w:tc>
          <w:tcPr>
            <w:tcW w:type="dxa" w:w="3408"/>
            <w:vAlign w:val="center"/>
          </w:tcPr>
          <w:p>
            <w:r/>
            <w:r>
              <w:rPr>
                <w:b w:val="0"/>
                <w:sz w:val="17"/>
              </w:rPr>
              <w:t>NexAlert recommends; authorized humans approve operational dispatch.</w:t>
            </w:r>
          </w:p>
        </w:tc>
        <w:tc>
          <w:tcPr>
            <w:tcW w:type="dxa" w:w="3408"/>
            <w:vAlign w:val="center"/>
          </w:tcPr>
          <w:p>
            <w:r/>
            <w:r>
              <w:rPr>
                <w:b w:val="0"/>
                <w:sz w:val="17"/>
              </w:rPr>
              <w:t>UI that implies autonomous dispatch is already authorized.</w:t>
            </w:r>
          </w:p>
        </w:tc>
      </w:tr>
      <w:tr>
        <w:tc>
          <w:tcPr>
            <w:tcW w:type="dxa" w:w="3408"/>
            <w:vAlign w:val="center"/>
          </w:tcPr>
          <w:p>
            <w:r/>
            <w:r>
              <w:rPr>
                <w:b w:val="0"/>
                <w:sz w:val="17"/>
              </w:rPr>
              <w:t>Resilience visible</w:t>
            </w:r>
          </w:p>
        </w:tc>
        <w:tc>
          <w:tcPr>
            <w:tcW w:type="dxa" w:w="3408"/>
            <w:vAlign w:val="center"/>
          </w:tcPr>
          <w:p>
            <w:r/>
            <w:r>
              <w:rPr>
                <w:b w:val="0"/>
                <w:sz w:val="17"/>
              </w:rPr>
              <w:t>Offline/local mode and stale data are explicit to the user.</w:t>
            </w:r>
          </w:p>
        </w:tc>
        <w:tc>
          <w:tcPr>
            <w:tcW w:type="dxa" w:w="3408"/>
            <w:vAlign w:val="center"/>
          </w:tcPr>
          <w:p>
            <w:r/>
            <w:r>
              <w:rPr>
                <w:b w:val="0"/>
                <w:sz w:val="17"/>
              </w:rPr>
              <w:t>Pretending disconnected systems are live.</w:t>
            </w:r>
          </w:p>
        </w:tc>
      </w:tr>
      <w:tr>
        <w:tc>
          <w:tcPr>
            <w:tcW w:type="dxa" w:w="3408"/>
            <w:vAlign w:val="center"/>
          </w:tcPr>
          <w:p>
            <w:r/>
            <w:r>
              <w:rPr>
                <w:b w:val="0"/>
                <w:sz w:val="17"/>
              </w:rPr>
              <w:t>Consistency</w:t>
            </w:r>
          </w:p>
        </w:tc>
        <w:tc>
          <w:tcPr>
            <w:tcW w:type="dxa" w:w="3408"/>
            <w:vAlign w:val="center"/>
          </w:tcPr>
          <w:p>
            <w:r/>
            <w:r>
              <w:rPr>
                <w:b w:val="0"/>
                <w:sz w:val="17"/>
              </w:rPr>
              <w:t>Same states, labels, icons, spacing, and semantics across pages.</w:t>
            </w:r>
          </w:p>
        </w:tc>
        <w:tc>
          <w:tcPr>
            <w:tcW w:type="dxa" w:w="3408"/>
            <w:vAlign w:val="center"/>
          </w:tcPr>
          <w:p>
            <w:r/>
            <w:r>
              <w:rPr>
                <w:b w:val="0"/>
                <w:sz w:val="17"/>
              </w:rPr>
              <w:t>Each page inventing its own terminology.</w:t>
            </w:r>
          </w:p>
        </w:tc>
      </w:tr>
    </w:tbl>
    <w:p>
      <w:pPr>
        <w:pStyle w:val="Heading2"/>
        <w:spacing w:after="80" w:line="252" w:lineRule="auto"/>
      </w:pPr>
      <w:r>
        <w:t>1.1 Design hierarchy</w:t>
      </w:r>
    </w:p>
    <w:p>
      <w:pPr>
        <w:pStyle w:val="ListBullet"/>
        <w:spacing w:after="80" w:line="252" w:lineRule="auto"/>
      </w:pPr>
      <w:r>
        <w:t>Level 1 — Immediate safety/decision: emergency state, critical alert, primary action, affected location.</w:t>
      </w:r>
    </w:p>
    <w:p>
      <w:pPr>
        <w:pStyle w:val="ListBullet"/>
        <w:spacing w:after="80" w:line="252" w:lineRule="auto"/>
      </w:pPr>
      <w:r>
        <w:t>Level 2 — Situation awareness: map, zone geometry, current/warning/projection, incidents, nodes, citizen SOS.</w:t>
      </w:r>
    </w:p>
    <w:p>
      <w:pPr>
        <w:pStyle w:val="ListBullet"/>
        <w:spacing w:after="80" w:line="252" w:lineRule="auto"/>
      </w:pPr>
      <w:r>
        <w:t>Level 3 — Evidence and diagnostics: telemetry, quality, reliability, contributing evidence, timestamps.</w:t>
      </w:r>
    </w:p>
    <w:p>
      <w:pPr>
        <w:pStyle w:val="ListBullet"/>
        <w:spacing w:after="80" w:line="252" w:lineRule="auto"/>
      </w:pPr>
      <w:r>
        <w:t>Level 4 — Investigation and history: simulation, historical comparisons, audit trail, detailed diagnostics.</w:t>
      </w:r>
    </w:p>
    <w:p>
      <w:pPr>
        <w:pStyle w:val="Heading1"/>
        <w:spacing w:after="80" w:line="252" w:lineRule="auto"/>
      </w:pPr>
      <w:r>
        <w:t>2. Design Tokens</w:t>
      </w:r>
    </w:p>
    <w:p>
      <w:pPr>
        <w:spacing w:after="80" w:line="252" w:lineRule="auto"/>
      </w:pPr>
      <w:r>
        <w:t>Tokens are the implementation vocabulary shared by both frontend applications. Store tokens centrally and consume them through CSS variables/theme objects rather than hard-coding values in individual pages.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D9EAF0"/>
          </w:tcPr>
          <w:p>
            <w:r/>
            <w:r>
              <w:rPr>
                <w:b/>
                <w:sz w:val="18"/>
              </w:rPr>
              <w:t>Token family</w:t>
            </w:r>
          </w:p>
        </w:tc>
        <w:tc>
          <w:tcPr>
            <w:tcW w:type="dxa" w:w="3408"/>
            <w:vAlign w:val="center"/>
            <w:shd w:fill="D9EAF0"/>
          </w:tcPr>
          <w:p>
            <w:r/>
            <w:r>
              <w:rPr>
                <w:b/>
                <w:sz w:val="18"/>
              </w:rPr>
              <w:t>Baseline</w:t>
            </w:r>
          </w:p>
        </w:tc>
        <w:tc>
          <w:tcPr>
            <w:tcW w:type="dxa" w:w="3408"/>
            <w:vAlign w:val="center"/>
            <w:shd w:fill="D9EAF0"/>
          </w:tcPr>
          <w:p>
            <w:r/>
            <w:r>
              <w:rPr>
                <w:b/>
                <w:sz w:val="18"/>
              </w:rPr>
              <w:t>Usage</w:t>
            </w:r>
          </w:p>
        </w:tc>
      </w:tr>
      <w:tr>
        <w:tc>
          <w:tcPr>
            <w:tcW w:type="dxa" w:w="3408"/>
            <w:vAlign w:val="center"/>
          </w:tcPr>
          <w:p>
            <w:r/>
            <w:r>
              <w:rPr>
                <w:b w:val="0"/>
                <w:sz w:val="17"/>
              </w:rPr>
              <w:t>Font family</w:t>
            </w:r>
          </w:p>
        </w:tc>
        <w:tc>
          <w:tcPr>
            <w:tcW w:type="dxa" w:w="3408"/>
            <w:vAlign w:val="center"/>
          </w:tcPr>
          <w:p>
            <w:r/>
            <w:r>
              <w:rPr>
                <w:b w:val="0"/>
                <w:sz w:val="17"/>
              </w:rPr>
              <w:t>UI: Aptos/Inter/system sans; monospace: platform monospace</w:t>
            </w:r>
          </w:p>
        </w:tc>
        <w:tc>
          <w:tcPr>
            <w:tcW w:type="dxa" w:w="3408"/>
            <w:vAlign w:val="center"/>
          </w:tcPr>
          <w:p>
            <w:r/>
            <w:r>
              <w:rPr>
                <w:b w:val="0"/>
                <w:sz w:val="17"/>
              </w:rPr>
              <w:t>Readable authority UI and data values.</w:t>
            </w:r>
          </w:p>
        </w:tc>
      </w:tr>
      <w:tr>
        <w:tc>
          <w:tcPr>
            <w:tcW w:type="dxa" w:w="3408"/>
            <w:vAlign w:val="center"/>
          </w:tcPr>
          <w:p>
            <w:r/>
            <w:r>
              <w:rPr>
                <w:b w:val="0"/>
                <w:sz w:val="17"/>
              </w:rPr>
              <w:t>Base spacing</w:t>
            </w:r>
          </w:p>
        </w:tc>
        <w:tc>
          <w:tcPr>
            <w:tcW w:type="dxa" w:w="3408"/>
            <w:vAlign w:val="center"/>
          </w:tcPr>
          <w:p>
            <w:r/>
            <w:r>
              <w:rPr>
                <w:b w:val="0"/>
                <w:sz w:val="17"/>
              </w:rPr>
              <w:t>4 px unit; common steps 4/8/12/16/24/32/48</w:t>
            </w:r>
          </w:p>
        </w:tc>
        <w:tc>
          <w:tcPr>
            <w:tcW w:type="dxa" w:w="3408"/>
            <w:vAlign w:val="center"/>
          </w:tcPr>
          <w:p>
            <w:r/>
            <w:r>
              <w:rPr>
                <w:b w:val="0"/>
                <w:sz w:val="17"/>
              </w:rPr>
              <w:t>Layout, card padding, grid rhythm.</w:t>
            </w:r>
          </w:p>
        </w:tc>
      </w:tr>
      <w:tr>
        <w:tc>
          <w:tcPr>
            <w:tcW w:type="dxa" w:w="3408"/>
            <w:vAlign w:val="center"/>
          </w:tcPr>
          <w:p>
            <w:r/>
            <w:r>
              <w:rPr>
                <w:b w:val="0"/>
                <w:sz w:val="17"/>
              </w:rPr>
              <w:t>Radius</w:t>
            </w:r>
          </w:p>
        </w:tc>
        <w:tc>
          <w:tcPr>
            <w:tcW w:type="dxa" w:w="3408"/>
            <w:vAlign w:val="center"/>
          </w:tcPr>
          <w:p>
            <w:r/>
            <w:r>
              <w:rPr>
                <w:b w:val="0"/>
                <w:sz w:val="17"/>
              </w:rPr>
              <w:t>6 px controls; 10 px cards; 14 px emergency surfaces</w:t>
            </w:r>
          </w:p>
        </w:tc>
        <w:tc>
          <w:tcPr>
            <w:tcW w:type="dxa" w:w="3408"/>
            <w:vAlign w:val="center"/>
          </w:tcPr>
          <w:p>
            <w:r/>
            <w:r>
              <w:rPr>
                <w:b w:val="0"/>
                <w:sz w:val="17"/>
              </w:rPr>
              <w:t>Avoid excessive pill-shaped UI.</w:t>
            </w:r>
          </w:p>
        </w:tc>
      </w:tr>
      <w:tr>
        <w:tc>
          <w:tcPr>
            <w:tcW w:type="dxa" w:w="3408"/>
            <w:vAlign w:val="center"/>
          </w:tcPr>
          <w:p>
            <w:r/>
            <w:r>
              <w:rPr>
                <w:b w:val="0"/>
                <w:sz w:val="17"/>
              </w:rPr>
              <w:t>Border</w:t>
            </w:r>
          </w:p>
        </w:tc>
        <w:tc>
          <w:tcPr>
            <w:tcW w:type="dxa" w:w="3408"/>
            <w:vAlign w:val="center"/>
          </w:tcPr>
          <w:p>
            <w:r/>
            <w:r>
              <w:rPr>
                <w:b w:val="0"/>
                <w:sz w:val="17"/>
              </w:rPr>
              <w:t>1 px neutral border</w:t>
            </w:r>
          </w:p>
        </w:tc>
        <w:tc>
          <w:tcPr>
            <w:tcW w:type="dxa" w:w="3408"/>
            <w:vAlign w:val="center"/>
          </w:tcPr>
          <w:p>
            <w:r/>
            <w:r>
              <w:rPr>
                <w:b w:val="0"/>
                <w:sz w:val="17"/>
              </w:rPr>
              <w:t>Separators and input boundaries; do not over-box every element.</w:t>
            </w:r>
          </w:p>
        </w:tc>
      </w:tr>
      <w:tr>
        <w:tc>
          <w:tcPr>
            <w:tcW w:type="dxa" w:w="3408"/>
            <w:vAlign w:val="center"/>
          </w:tcPr>
          <w:p>
            <w:r/>
            <w:r>
              <w:rPr>
                <w:b w:val="0"/>
                <w:sz w:val="17"/>
              </w:rPr>
              <w:t>Body text</w:t>
            </w:r>
          </w:p>
        </w:tc>
        <w:tc>
          <w:tcPr>
            <w:tcW w:type="dxa" w:w="3408"/>
            <w:vAlign w:val="center"/>
          </w:tcPr>
          <w:p>
            <w:r/>
            <w:r>
              <w:rPr>
                <w:b w:val="0"/>
                <w:sz w:val="17"/>
              </w:rPr>
              <w:t>14–16 px</w:t>
            </w:r>
          </w:p>
        </w:tc>
        <w:tc>
          <w:tcPr>
            <w:tcW w:type="dxa" w:w="3408"/>
            <w:vAlign w:val="center"/>
          </w:tcPr>
          <w:p>
            <w:r/>
            <w:r>
              <w:rPr>
                <w:b w:val="0"/>
                <w:sz w:val="17"/>
              </w:rPr>
              <w:t>Authority dense enough for operations but legible.</w:t>
            </w:r>
          </w:p>
        </w:tc>
      </w:tr>
      <w:tr>
        <w:tc>
          <w:tcPr>
            <w:tcW w:type="dxa" w:w="3408"/>
            <w:vAlign w:val="center"/>
          </w:tcPr>
          <w:p>
            <w:r/>
            <w:r>
              <w:rPr>
                <w:b w:val="0"/>
                <w:sz w:val="17"/>
              </w:rPr>
              <w:t>Small/meta text</w:t>
            </w:r>
          </w:p>
        </w:tc>
        <w:tc>
          <w:tcPr>
            <w:tcW w:type="dxa" w:w="3408"/>
            <w:vAlign w:val="center"/>
          </w:tcPr>
          <w:p>
            <w:r/>
            <w:r>
              <w:rPr>
                <w:b w:val="0"/>
                <w:sz w:val="17"/>
              </w:rPr>
              <w:t>12 px minimum; 11 px only for secondary map labels</w:t>
            </w:r>
          </w:p>
        </w:tc>
        <w:tc>
          <w:tcPr>
            <w:tcW w:type="dxa" w:w="3408"/>
            <w:vAlign w:val="center"/>
          </w:tcPr>
          <w:p>
            <w:r/>
            <w:r>
              <w:rPr>
                <w:b w:val="0"/>
                <w:sz w:val="17"/>
              </w:rPr>
              <w:t>Timestamp, source, status metadata.</w:t>
            </w:r>
          </w:p>
        </w:tc>
      </w:tr>
      <w:tr>
        <w:tc>
          <w:tcPr>
            <w:tcW w:type="dxa" w:w="3408"/>
            <w:vAlign w:val="center"/>
          </w:tcPr>
          <w:p>
            <w:r/>
            <w:r>
              <w:rPr>
                <w:b w:val="0"/>
                <w:sz w:val="17"/>
              </w:rPr>
              <w:t>Heading scale</w:t>
            </w:r>
          </w:p>
        </w:tc>
        <w:tc>
          <w:tcPr>
            <w:tcW w:type="dxa" w:w="3408"/>
            <w:vAlign w:val="center"/>
          </w:tcPr>
          <w:p>
            <w:r/>
            <w:r>
              <w:rPr>
                <w:b w:val="0"/>
                <w:sz w:val="17"/>
              </w:rPr>
              <w:t>28 / 22 / 17 / 14 px</w:t>
            </w:r>
          </w:p>
        </w:tc>
        <w:tc>
          <w:tcPr>
            <w:tcW w:type="dxa" w:w="3408"/>
            <w:vAlign w:val="center"/>
          </w:tcPr>
          <w:p>
            <w:r/>
            <w:r>
              <w:rPr>
                <w:b w:val="0"/>
                <w:sz w:val="17"/>
              </w:rPr>
              <w:t>Page title through section title.</w:t>
            </w:r>
          </w:p>
        </w:tc>
      </w:tr>
      <w:tr>
        <w:tc>
          <w:tcPr>
            <w:tcW w:type="dxa" w:w="3408"/>
            <w:vAlign w:val="center"/>
          </w:tcPr>
          <w:p>
            <w:r/>
            <w:r>
              <w:rPr>
                <w:b w:val="0"/>
                <w:sz w:val="17"/>
              </w:rPr>
              <w:t>Touch target</w:t>
            </w:r>
          </w:p>
        </w:tc>
        <w:tc>
          <w:tcPr>
            <w:tcW w:type="dxa" w:w="3408"/>
            <w:vAlign w:val="center"/>
          </w:tcPr>
          <w:p>
            <w:r/>
            <w:r>
              <w:rPr>
                <w:b w:val="0"/>
                <w:sz w:val="17"/>
              </w:rPr>
              <w:t>44×44 px minimum</w:t>
            </w:r>
          </w:p>
        </w:tc>
        <w:tc>
          <w:tcPr>
            <w:tcW w:type="dxa" w:w="3408"/>
            <w:vAlign w:val="center"/>
          </w:tcPr>
          <w:p>
            <w:r/>
            <w:r>
              <w:rPr>
                <w:b w:val="0"/>
                <w:sz w:val="17"/>
              </w:rPr>
              <w:t>Citizen actions, SOS, map controls, navigation.</w:t>
            </w:r>
          </w:p>
        </w:tc>
      </w:tr>
      <w:tr>
        <w:tc>
          <w:tcPr>
            <w:tcW w:type="dxa" w:w="3408"/>
            <w:vAlign w:val="center"/>
          </w:tcPr>
          <w:p>
            <w:r/>
            <w:r>
              <w:rPr>
                <w:b w:val="0"/>
                <w:sz w:val="17"/>
              </w:rPr>
              <w:t>Focus ring</w:t>
            </w:r>
          </w:p>
        </w:tc>
        <w:tc>
          <w:tcPr>
            <w:tcW w:type="dxa" w:w="3408"/>
            <w:vAlign w:val="center"/>
          </w:tcPr>
          <w:p>
            <w:r/>
            <w:r>
              <w:rPr>
                <w:b w:val="0"/>
                <w:sz w:val="17"/>
              </w:rPr>
              <w:t>2 px visible outline + offset</w:t>
            </w:r>
          </w:p>
        </w:tc>
        <w:tc>
          <w:tcPr>
            <w:tcW w:type="dxa" w:w="3408"/>
            <w:vAlign w:val="center"/>
          </w:tcPr>
          <w:p>
            <w:r/>
            <w:r>
              <w:rPr>
                <w:b w:val="0"/>
                <w:sz w:val="17"/>
              </w:rPr>
              <w:t>Keyboard and assistive navigation.</w:t>
            </w:r>
          </w:p>
        </w:tc>
      </w:tr>
      <w:tr>
        <w:tc>
          <w:tcPr>
            <w:tcW w:type="dxa" w:w="3408"/>
            <w:vAlign w:val="center"/>
          </w:tcPr>
          <w:p>
            <w:r/>
            <w:r>
              <w:rPr>
                <w:b w:val="0"/>
                <w:sz w:val="17"/>
              </w:rPr>
              <w:t>Motion</w:t>
            </w:r>
          </w:p>
        </w:tc>
        <w:tc>
          <w:tcPr>
            <w:tcW w:type="dxa" w:w="3408"/>
            <w:vAlign w:val="center"/>
          </w:tcPr>
          <w:p>
            <w:r/>
            <w:r>
              <w:rPr>
                <w:b w:val="0"/>
                <w:sz w:val="17"/>
              </w:rPr>
              <w:t>150–220 ms micro; 300–450 ms mode transitions</w:t>
            </w:r>
          </w:p>
        </w:tc>
        <w:tc>
          <w:tcPr>
            <w:tcW w:type="dxa" w:w="3408"/>
            <w:vAlign w:val="center"/>
          </w:tcPr>
          <w:p>
            <w:r/>
            <w:r>
              <w:rPr>
                <w:b w:val="0"/>
                <w:sz w:val="17"/>
              </w:rPr>
              <w:t>No motion that delays emergency comprehension.</w:t>
            </w:r>
          </w:p>
        </w:tc>
      </w:tr>
    </w:tbl>
    <w:p>
      <w:pPr>
        <w:pStyle w:val="Heading2"/>
        <w:spacing w:after="80" w:line="252" w:lineRule="auto"/>
      </w:pPr>
      <w:r>
        <w:t>2.1 Color semantics</w:t>
      </w:r>
    </w:p>
    <w:p>
      <w:pPr>
        <w:spacing w:after="80" w:line="252" w:lineRule="auto"/>
      </w:pPr>
      <w:r>
        <w:t>Color communicates state but is never the only carrier. Every semantic color must have a label, icon, shape, texture, or text counterpart. Avoid red-versus-green-only meaning because of color-vision deficiency and low-contrast field conditions.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D9EAF0"/>
          </w:tcPr>
          <w:p>
            <w:r/>
            <w:r>
              <w:rPr>
                <w:b/>
                <w:sz w:val="18"/>
              </w:rPr>
              <w:t>Semantic</w:t>
            </w:r>
          </w:p>
        </w:tc>
        <w:tc>
          <w:tcPr>
            <w:tcW w:type="dxa" w:w="3408"/>
            <w:vAlign w:val="center"/>
            <w:shd w:fill="D9EAF0"/>
          </w:tcPr>
          <w:p>
            <w:r/>
            <w:r>
              <w:rPr>
                <w:b/>
                <w:sz w:val="18"/>
              </w:rPr>
              <w:t>Visual role</w:t>
            </w:r>
          </w:p>
        </w:tc>
        <w:tc>
          <w:tcPr>
            <w:tcW w:type="dxa" w:w="3408"/>
            <w:vAlign w:val="center"/>
            <w:shd w:fill="D9EAF0"/>
          </w:tcPr>
          <w:p>
            <w:r/>
            <w:r>
              <w:rPr>
                <w:b/>
                <w:sz w:val="18"/>
              </w:rPr>
              <w:t>Required label/icon companion</w:t>
            </w:r>
          </w:p>
        </w:tc>
      </w:tr>
      <w:tr>
        <w:tc>
          <w:tcPr>
            <w:tcW w:type="dxa" w:w="3408"/>
            <w:vAlign w:val="center"/>
          </w:tcPr>
          <w:p>
            <w:r/>
            <w:r>
              <w:rPr>
                <w:b w:val="0"/>
                <w:sz w:val="17"/>
              </w:rPr>
              <w:t>Neutral / baseline</w:t>
            </w:r>
          </w:p>
        </w:tc>
        <w:tc>
          <w:tcPr>
            <w:tcW w:type="dxa" w:w="3408"/>
            <w:vAlign w:val="center"/>
          </w:tcPr>
          <w:p>
            <w:r/>
            <w:r>
              <w:rPr>
                <w:b w:val="0"/>
                <w:sz w:val="17"/>
              </w:rPr>
              <w:t>Normal structure and stable information</w:t>
            </w:r>
          </w:p>
        </w:tc>
        <w:tc>
          <w:tcPr>
            <w:tcW w:type="dxa" w:w="3408"/>
            <w:vAlign w:val="center"/>
          </w:tcPr>
          <w:p>
            <w:r/>
            <w:r>
              <w:rPr>
                <w:b w:val="0"/>
                <w:sz w:val="17"/>
              </w:rPr>
              <w:t>Text label; no state implied.</w:t>
            </w:r>
          </w:p>
        </w:tc>
      </w:tr>
      <w:tr>
        <w:tc>
          <w:tcPr>
            <w:tcW w:type="dxa" w:w="3408"/>
            <w:vAlign w:val="center"/>
          </w:tcPr>
          <w:p>
            <w:r/>
            <w:r>
              <w:rPr>
                <w:b w:val="0"/>
                <w:sz w:val="17"/>
              </w:rPr>
              <w:t>Blue</w:t>
            </w:r>
          </w:p>
        </w:tc>
        <w:tc>
          <w:tcPr>
            <w:tcW w:type="dxa" w:w="3408"/>
            <w:vAlign w:val="center"/>
          </w:tcPr>
          <w:p>
            <w:r/>
            <w:r>
              <w:rPr>
                <w:b w:val="0"/>
                <w:sz w:val="17"/>
              </w:rPr>
              <w:t>Network, infrastructure, informational field nodes, non-threatening system status</w:t>
            </w:r>
          </w:p>
        </w:tc>
        <w:tc>
          <w:tcPr>
            <w:tcW w:type="dxa" w:w="3408"/>
            <w:vAlign w:val="center"/>
          </w:tcPr>
          <w:p>
            <w:r/>
            <w:r>
              <w:rPr>
                <w:b w:val="0"/>
                <w:sz w:val="17"/>
              </w:rPr>
              <w:t>Icon or explicit category label.</w:t>
            </w:r>
          </w:p>
        </w:tc>
      </w:tr>
      <w:tr>
        <w:tc>
          <w:tcPr>
            <w:tcW w:type="dxa" w:w="3408"/>
            <w:vAlign w:val="center"/>
          </w:tcPr>
          <w:p>
            <w:r/>
            <w:r>
              <w:rPr>
                <w:b w:val="0"/>
                <w:sz w:val="17"/>
              </w:rPr>
              <w:t>Yellow / amber</w:t>
            </w:r>
          </w:p>
        </w:tc>
        <w:tc>
          <w:tcPr>
            <w:tcW w:type="dxa" w:w="3408"/>
            <w:vAlign w:val="center"/>
          </w:tcPr>
          <w:p>
            <w:r/>
            <w:r>
              <w:rPr>
                <w:b w:val="0"/>
                <w:sz w:val="17"/>
              </w:rPr>
              <w:t>WATCH, degraded/attention-needed, projected/awareness contexts where applicable</w:t>
            </w:r>
          </w:p>
        </w:tc>
        <w:tc>
          <w:tcPr>
            <w:tcW w:type="dxa" w:w="3408"/>
            <w:vAlign w:val="center"/>
          </w:tcPr>
          <w:p>
            <w:r/>
            <w:r>
              <w:rPr>
                <w:b w:val="0"/>
                <w:sz w:val="17"/>
              </w:rPr>
              <w:t>State label such as WATCH / DEGRADED.</w:t>
            </w:r>
          </w:p>
        </w:tc>
      </w:tr>
      <w:tr>
        <w:tc>
          <w:tcPr>
            <w:tcW w:type="dxa" w:w="3408"/>
            <w:vAlign w:val="center"/>
          </w:tcPr>
          <w:p>
            <w:r/>
            <w:r>
              <w:rPr>
                <w:b w:val="0"/>
                <w:sz w:val="17"/>
              </w:rPr>
              <w:t>Orange</w:t>
            </w:r>
          </w:p>
        </w:tc>
        <w:tc>
          <w:tcPr>
            <w:tcW w:type="dxa" w:w="3408"/>
            <w:vAlign w:val="center"/>
          </w:tcPr>
          <w:p>
            <w:r/>
            <w:r>
              <w:rPr>
                <w:b w:val="0"/>
                <w:sz w:val="17"/>
              </w:rPr>
              <w:t>SUSPECTED / elevated operational attention</w:t>
            </w:r>
          </w:p>
        </w:tc>
        <w:tc>
          <w:tcPr>
            <w:tcW w:type="dxa" w:w="3408"/>
            <w:vAlign w:val="center"/>
          </w:tcPr>
          <w:p>
            <w:r/>
            <w:r>
              <w:rPr>
                <w:b w:val="0"/>
                <w:sz w:val="17"/>
              </w:rPr>
              <w:t>State label and caution icon.</w:t>
            </w:r>
          </w:p>
        </w:tc>
      </w:tr>
      <w:tr>
        <w:tc>
          <w:tcPr>
            <w:tcW w:type="dxa" w:w="3408"/>
            <w:vAlign w:val="center"/>
          </w:tcPr>
          <w:p>
            <w:r/>
            <w:r>
              <w:rPr>
                <w:b w:val="0"/>
                <w:sz w:val="17"/>
              </w:rPr>
              <w:t>Red</w:t>
            </w:r>
          </w:p>
        </w:tc>
        <w:tc>
          <w:tcPr>
            <w:tcW w:type="dxa" w:w="3408"/>
            <w:vAlign w:val="center"/>
          </w:tcPr>
          <w:p>
            <w:r/>
            <w:r>
              <w:rPr>
                <w:b w:val="0"/>
                <w:sz w:val="17"/>
              </w:rPr>
              <w:t>CRITICAL / immediate hazard</w:t>
            </w:r>
          </w:p>
        </w:tc>
        <w:tc>
          <w:tcPr>
            <w:tcW w:type="dxa" w:w="3408"/>
            <w:vAlign w:val="center"/>
          </w:tcPr>
          <w:p>
            <w:r/>
            <w:r>
              <w:rPr>
                <w:b w:val="0"/>
                <w:sz w:val="17"/>
              </w:rPr>
              <w:t>CRITICAL label + hazard icon + action.</w:t>
            </w:r>
          </w:p>
        </w:tc>
      </w:tr>
      <w:tr>
        <w:tc>
          <w:tcPr>
            <w:tcW w:type="dxa" w:w="3408"/>
            <w:vAlign w:val="center"/>
          </w:tcPr>
          <w:p>
            <w:r/>
            <w:r>
              <w:rPr>
                <w:b w:val="0"/>
                <w:sz w:val="17"/>
              </w:rPr>
              <w:t>Green</w:t>
            </w:r>
          </w:p>
        </w:tc>
        <w:tc>
          <w:tcPr>
            <w:tcW w:type="dxa" w:w="3408"/>
            <w:vAlign w:val="center"/>
          </w:tcPr>
          <w:p>
            <w:r/>
            <w:r>
              <w:rPr>
                <w:b w:val="0"/>
                <w:sz w:val="17"/>
              </w:rPr>
              <w:t>Resolved/safe operational confirmation only when appropriate</w:t>
            </w:r>
          </w:p>
        </w:tc>
        <w:tc>
          <w:tcPr>
            <w:tcW w:type="dxa" w:w="3408"/>
            <w:vAlign w:val="center"/>
          </w:tcPr>
          <w:p>
            <w:r/>
            <w:r>
              <w:rPr>
                <w:b w:val="0"/>
                <w:sz w:val="17"/>
              </w:rPr>
              <w:t>RESOLVED / SAFE label; never used alone to imply low risk.</w:t>
            </w:r>
          </w:p>
        </w:tc>
      </w:tr>
      <w:tr>
        <w:tc>
          <w:tcPr>
            <w:tcW w:type="dxa" w:w="3408"/>
            <w:vAlign w:val="center"/>
          </w:tcPr>
          <w:p>
            <w:r/>
            <w:r>
              <w:rPr>
                <w:b w:val="0"/>
                <w:sz w:val="17"/>
              </w:rPr>
              <w:t>Purple / accent</w:t>
            </w:r>
          </w:p>
        </w:tc>
        <w:tc>
          <w:tcPr>
            <w:tcW w:type="dxa" w:w="3408"/>
            <w:vAlign w:val="center"/>
          </w:tcPr>
          <w:p>
            <w:r/>
            <w:r>
              <w:rPr>
                <w:b w:val="0"/>
                <w:sz w:val="17"/>
              </w:rPr>
              <w:t>Simulation or analytical mode separation</w:t>
            </w:r>
          </w:p>
        </w:tc>
        <w:tc>
          <w:tcPr>
            <w:tcW w:type="dxa" w:w="3408"/>
            <w:vAlign w:val="center"/>
          </w:tcPr>
          <w:p>
            <w:r/>
            <w:r>
              <w:rPr>
                <w:b w:val="0"/>
                <w:sz w:val="17"/>
              </w:rPr>
              <w:t>SIMULATION badge / mode label.</w:t>
            </w:r>
          </w:p>
        </w:tc>
      </w:tr>
    </w:tbl>
    <w:p>
      <w:pPr>
        <w:pStyle w:val="Heading2"/>
        <w:spacing w:after="80" w:line="252" w:lineRule="auto"/>
      </w:pPr>
      <w:r>
        <w:t>2.2 Typography rules</w:t>
      </w:r>
    </w:p>
    <w:p>
      <w:pPr>
        <w:pStyle w:val="ListBullet"/>
        <w:spacing w:after="80" w:line="252" w:lineRule="auto"/>
      </w:pPr>
      <w:r>
        <w:t>Use sentence case for labels and buttons. Reserve ALL CAPS for compact state chips only.</w:t>
      </w:r>
    </w:p>
    <w:p>
      <w:pPr>
        <w:pStyle w:val="ListBullet"/>
        <w:spacing w:after="80" w:line="252" w:lineRule="auto"/>
      </w:pPr>
      <w:r>
        <w:t>Use tabular numerals for sensor values, times, and counters so columns visually align.</w:t>
      </w:r>
    </w:p>
    <w:p>
      <w:pPr>
        <w:pStyle w:val="ListBullet"/>
        <w:spacing w:after="80" w:line="252" w:lineRule="auto"/>
      </w:pPr>
      <w:r>
        <w:t>Do not use light font weights for decision-critical text. Keep essential labels at regular/medium weight.</w:t>
      </w:r>
    </w:p>
    <w:p>
      <w:pPr>
        <w:pStyle w:val="ListBullet"/>
        <w:spacing w:after="80" w:line="252" w:lineRule="auto"/>
      </w:pPr>
      <w:r>
        <w:t>Do not communicate meaning through color text alone on map overlays; pair with labels or patterns.</w:t>
      </w:r>
    </w:p>
    <w:p>
      <w:pPr>
        <w:pStyle w:val="Heading1"/>
        <w:spacing w:after="80" w:line="252" w:lineRule="auto"/>
      </w:pPr>
      <w:r>
        <w:t>3. Core Component System</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D9EAF0"/>
          </w:tcPr>
          <w:p>
            <w:r/>
            <w:r>
              <w:rPr>
                <w:b/>
                <w:sz w:val="18"/>
              </w:rPr>
              <w:t>Component</w:t>
            </w:r>
          </w:p>
        </w:tc>
        <w:tc>
          <w:tcPr>
            <w:tcW w:type="dxa" w:w="3408"/>
            <w:vAlign w:val="center"/>
            <w:shd w:fill="D9EAF0"/>
          </w:tcPr>
          <w:p>
            <w:r/>
            <w:r>
              <w:rPr>
                <w:b/>
                <w:sz w:val="18"/>
              </w:rPr>
              <w:t>Purpose</w:t>
            </w:r>
          </w:p>
        </w:tc>
        <w:tc>
          <w:tcPr>
            <w:tcW w:type="dxa" w:w="3408"/>
            <w:vAlign w:val="center"/>
            <w:shd w:fill="D9EAF0"/>
          </w:tcPr>
          <w:p>
            <w:r/>
            <w:r>
              <w:rPr>
                <w:b/>
                <w:sz w:val="18"/>
              </w:rPr>
              <w:t>Required states</w:t>
            </w:r>
          </w:p>
        </w:tc>
      </w:tr>
      <w:tr>
        <w:tc>
          <w:tcPr>
            <w:tcW w:type="dxa" w:w="3408"/>
            <w:vAlign w:val="center"/>
          </w:tcPr>
          <w:p>
            <w:r/>
            <w:r>
              <w:rPr>
                <w:b w:val="0"/>
                <w:sz w:val="17"/>
              </w:rPr>
              <w:t>State chip</w:t>
            </w:r>
          </w:p>
        </w:tc>
        <w:tc>
          <w:tcPr>
            <w:tcW w:type="dxa" w:w="3408"/>
            <w:vAlign w:val="center"/>
          </w:tcPr>
          <w:p>
            <w:r/>
            <w:r>
              <w:rPr>
                <w:b w:val="0"/>
                <w:sz w:val="17"/>
              </w:rPr>
              <w:t>Compact incident/node/condition state</w:t>
            </w:r>
          </w:p>
        </w:tc>
        <w:tc>
          <w:tcPr>
            <w:tcW w:type="dxa" w:w="3408"/>
            <w:vAlign w:val="center"/>
          </w:tcPr>
          <w:p>
            <w:r/>
            <w:r>
              <w:rPr>
                <w:b w:val="0"/>
                <w:sz w:val="17"/>
              </w:rPr>
              <w:t>NORMAL, WATCH, SUSPECTED, CONFIRMED, CRITICAL, RESOLVED; plus GOOD/DEGRADED/UNKNOWN where relevant.</w:t>
            </w:r>
          </w:p>
        </w:tc>
      </w:tr>
      <w:tr>
        <w:tc>
          <w:tcPr>
            <w:tcW w:type="dxa" w:w="3408"/>
            <w:vAlign w:val="center"/>
          </w:tcPr>
          <w:p>
            <w:r/>
            <w:r>
              <w:rPr>
                <w:b w:val="0"/>
                <w:sz w:val="17"/>
              </w:rPr>
              <w:t>Severity badge</w:t>
            </w:r>
          </w:p>
        </w:tc>
        <w:tc>
          <w:tcPr>
            <w:tcW w:type="dxa" w:w="3408"/>
            <w:vAlign w:val="center"/>
          </w:tcPr>
          <w:p>
            <w:r/>
            <w:r>
              <w:rPr>
                <w:b w:val="0"/>
                <w:sz w:val="17"/>
              </w:rPr>
              <w:t>Express severity independently from incident state</w:t>
            </w:r>
          </w:p>
        </w:tc>
        <w:tc>
          <w:tcPr>
            <w:tcW w:type="dxa" w:w="3408"/>
            <w:vAlign w:val="center"/>
          </w:tcPr>
          <w:p>
            <w:r/>
            <w:r>
              <w:rPr>
                <w:b w:val="0"/>
                <w:sz w:val="17"/>
              </w:rPr>
              <w:t>Low / Moderate / High / Extreme (configured vocabulary only).</w:t>
            </w:r>
          </w:p>
        </w:tc>
      </w:tr>
      <w:tr>
        <w:tc>
          <w:tcPr>
            <w:tcW w:type="dxa" w:w="3408"/>
            <w:vAlign w:val="center"/>
          </w:tcPr>
          <w:p>
            <w:r/>
            <w:r>
              <w:rPr>
                <w:b w:val="0"/>
                <w:sz w:val="17"/>
              </w:rPr>
              <w:t>Information Condition badge</w:t>
            </w:r>
          </w:p>
        </w:tc>
        <w:tc>
          <w:tcPr>
            <w:tcW w:type="dxa" w:w="3408"/>
            <w:vAlign w:val="center"/>
          </w:tcPr>
          <w:p>
            <w:r/>
            <w:r>
              <w:rPr>
                <w:b w:val="0"/>
                <w:sz w:val="17"/>
              </w:rPr>
              <w:t>Express evidence availability, not danger</w:t>
            </w:r>
          </w:p>
        </w:tc>
        <w:tc>
          <w:tcPr>
            <w:tcW w:type="dxa" w:w="3408"/>
            <w:vAlign w:val="center"/>
          </w:tcPr>
          <w:p>
            <w:r/>
            <w:r>
              <w:rPr>
                <w:b w:val="0"/>
                <w:sz w:val="17"/>
              </w:rPr>
              <w:t>GOOD / DEGRADED / UNKNOWN.</w:t>
            </w:r>
          </w:p>
        </w:tc>
      </w:tr>
      <w:tr>
        <w:tc>
          <w:tcPr>
            <w:tcW w:type="dxa" w:w="3408"/>
            <w:vAlign w:val="center"/>
          </w:tcPr>
          <w:p>
            <w:r/>
            <w:r>
              <w:rPr>
                <w:b w:val="0"/>
                <w:sz w:val="17"/>
              </w:rPr>
              <w:t>Timestamp line</w:t>
            </w:r>
          </w:p>
        </w:tc>
        <w:tc>
          <w:tcPr>
            <w:tcW w:type="dxa" w:w="3408"/>
            <w:vAlign w:val="center"/>
          </w:tcPr>
          <w:p>
            <w:r/>
            <w:r>
              <w:rPr>
                <w:b w:val="0"/>
                <w:sz w:val="17"/>
              </w:rPr>
              <w:t>Make freshness visible</w:t>
            </w:r>
          </w:p>
        </w:tc>
        <w:tc>
          <w:tcPr>
            <w:tcW w:type="dxa" w:w="3408"/>
            <w:vAlign w:val="center"/>
          </w:tcPr>
          <w:p>
            <w:r/>
            <w:r>
              <w:rPr>
                <w:b w:val="0"/>
                <w:sz w:val="17"/>
              </w:rPr>
              <w:t>measurement time, received time, age, source.</w:t>
            </w:r>
          </w:p>
        </w:tc>
      </w:tr>
      <w:tr>
        <w:tc>
          <w:tcPr>
            <w:tcW w:type="dxa" w:w="3408"/>
            <w:vAlign w:val="center"/>
          </w:tcPr>
          <w:p>
            <w:r/>
            <w:r>
              <w:rPr>
                <w:b w:val="0"/>
                <w:sz w:val="17"/>
              </w:rPr>
              <w:t>Evidence group</w:t>
            </w:r>
          </w:p>
        </w:tc>
        <w:tc>
          <w:tcPr>
            <w:tcW w:type="dxa" w:w="3408"/>
            <w:vAlign w:val="center"/>
          </w:tcPr>
          <w:p>
            <w:r/>
            <w:r>
              <w:rPr>
                <w:b w:val="0"/>
                <w:sz w:val="17"/>
              </w:rPr>
              <w:t>Explain why an incident state exists</w:t>
            </w:r>
          </w:p>
        </w:tc>
        <w:tc>
          <w:tcPr>
            <w:tcW w:type="dxa" w:w="3408"/>
            <w:vAlign w:val="center"/>
          </w:tcPr>
          <w:p>
            <w:r/>
            <w:r>
              <w:rPr>
                <w:b w:val="0"/>
                <w:sz w:val="17"/>
              </w:rPr>
              <w:t>Supporting sensors, core evidence coverage, agreement, temporal support, baseline readiness.</w:t>
            </w:r>
          </w:p>
        </w:tc>
      </w:tr>
      <w:tr>
        <w:tc>
          <w:tcPr>
            <w:tcW w:type="dxa" w:w="3408"/>
            <w:vAlign w:val="center"/>
          </w:tcPr>
          <w:p>
            <w:r/>
            <w:r>
              <w:rPr>
                <w:b w:val="0"/>
                <w:sz w:val="17"/>
              </w:rPr>
              <w:t>Command card</w:t>
            </w:r>
          </w:p>
        </w:tc>
        <w:tc>
          <w:tcPr>
            <w:tcW w:type="dxa" w:w="3408"/>
            <w:vAlign w:val="center"/>
          </w:tcPr>
          <w:p>
            <w:r/>
            <w:r>
              <w:rPr>
                <w:b w:val="0"/>
                <w:sz w:val="17"/>
              </w:rPr>
              <w:t>Operational decision surface</w:t>
            </w:r>
          </w:p>
        </w:tc>
        <w:tc>
          <w:tcPr>
            <w:tcW w:type="dxa" w:w="3408"/>
            <w:vAlign w:val="center"/>
          </w:tcPr>
          <w:p>
            <w:r/>
            <w:r>
              <w:rPr>
                <w:b w:val="0"/>
                <w:sz w:val="17"/>
              </w:rPr>
              <w:t>State, condition, recommendation, approval control, timestamps, assigned actions.</w:t>
            </w:r>
          </w:p>
        </w:tc>
      </w:tr>
      <w:tr>
        <w:tc>
          <w:tcPr>
            <w:tcW w:type="dxa" w:w="3408"/>
            <w:vAlign w:val="center"/>
          </w:tcPr>
          <w:p>
            <w:r/>
            <w:r>
              <w:rPr>
                <w:b w:val="0"/>
                <w:sz w:val="17"/>
              </w:rPr>
              <w:t>Incident row/card</w:t>
            </w:r>
          </w:p>
        </w:tc>
        <w:tc>
          <w:tcPr>
            <w:tcW w:type="dxa" w:w="3408"/>
            <w:vAlign w:val="center"/>
          </w:tcPr>
          <w:p>
            <w:r/>
            <w:r>
              <w:rPr>
                <w:b w:val="0"/>
                <w:sz w:val="17"/>
              </w:rPr>
              <w:t>Scanable incident summary</w:t>
            </w:r>
          </w:p>
        </w:tc>
        <w:tc>
          <w:tcPr>
            <w:tcW w:type="dxa" w:w="3408"/>
            <w:vAlign w:val="center"/>
          </w:tcPr>
          <w:p>
            <w:r/>
            <w:r>
              <w:rPr>
                <w:b w:val="0"/>
                <w:sz w:val="17"/>
              </w:rPr>
              <w:t>Hazard, state, severity, location, age, condition, last transition.</w:t>
            </w:r>
          </w:p>
        </w:tc>
      </w:tr>
      <w:tr>
        <w:tc>
          <w:tcPr>
            <w:tcW w:type="dxa" w:w="3408"/>
            <w:vAlign w:val="center"/>
          </w:tcPr>
          <w:p>
            <w:r/>
            <w:r>
              <w:rPr>
                <w:b w:val="0"/>
                <w:sz w:val="17"/>
              </w:rPr>
              <w:t>Node card</w:t>
            </w:r>
          </w:p>
        </w:tc>
        <w:tc>
          <w:tcPr>
            <w:tcW w:type="dxa" w:w="3408"/>
            <w:vAlign w:val="center"/>
          </w:tcPr>
          <w:p>
            <w:r/>
            <w:r>
              <w:rPr>
                <w:b w:val="0"/>
                <w:sz w:val="17"/>
              </w:rPr>
              <w:t>Network and sensor health</w:t>
            </w:r>
          </w:p>
        </w:tc>
        <w:tc>
          <w:tcPr>
            <w:tcW w:type="dxa" w:w="3408"/>
            <w:vAlign w:val="center"/>
          </w:tcPr>
          <w:p>
            <w:r/>
            <w:r>
              <w:rPr>
                <w:b w:val="0"/>
                <w:sz w:val="17"/>
              </w:rPr>
              <w:t>Health, quality, reliability, link, battery/power, heartbeat, recent telemetry.</w:t>
            </w:r>
          </w:p>
        </w:tc>
      </w:tr>
      <w:tr>
        <w:tc>
          <w:tcPr>
            <w:tcW w:type="dxa" w:w="3408"/>
            <w:vAlign w:val="center"/>
          </w:tcPr>
          <w:p>
            <w:r/>
            <w:r>
              <w:rPr>
                <w:b w:val="0"/>
                <w:sz w:val="17"/>
              </w:rPr>
              <w:t>Metric tile</w:t>
            </w:r>
          </w:p>
        </w:tc>
        <w:tc>
          <w:tcPr>
            <w:tcW w:type="dxa" w:w="3408"/>
            <w:vAlign w:val="center"/>
          </w:tcPr>
          <w:p>
            <w:r/>
            <w:r>
              <w:rPr>
                <w:b w:val="0"/>
                <w:sz w:val="17"/>
              </w:rPr>
              <w:t>Single analytical value</w:t>
            </w:r>
          </w:p>
        </w:tc>
        <w:tc>
          <w:tcPr>
            <w:tcW w:type="dxa" w:w="3408"/>
            <w:vAlign w:val="center"/>
          </w:tcPr>
          <w:p>
            <w:r/>
            <w:r>
              <w:rPr>
                <w:b w:val="0"/>
                <w:sz w:val="17"/>
              </w:rPr>
              <w:t>Value, unit, timestamp, trend only when meaningful.</w:t>
            </w:r>
          </w:p>
        </w:tc>
      </w:tr>
      <w:tr>
        <w:tc>
          <w:tcPr>
            <w:tcW w:type="dxa" w:w="3408"/>
            <w:vAlign w:val="center"/>
          </w:tcPr>
          <w:p>
            <w:r/>
            <w:r>
              <w:rPr>
                <w:b w:val="0"/>
                <w:sz w:val="17"/>
              </w:rPr>
              <w:t>Action button</w:t>
            </w:r>
          </w:p>
        </w:tc>
        <w:tc>
          <w:tcPr>
            <w:tcW w:type="dxa" w:w="3408"/>
            <w:vAlign w:val="center"/>
          </w:tcPr>
          <w:p>
            <w:r/>
            <w:r>
              <w:rPr>
                <w:b w:val="0"/>
                <w:sz w:val="17"/>
              </w:rPr>
              <w:t>Primary operational action</w:t>
            </w:r>
          </w:p>
        </w:tc>
        <w:tc>
          <w:tcPr>
            <w:tcW w:type="dxa" w:w="3408"/>
            <w:vAlign w:val="center"/>
          </w:tcPr>
          <w:p>
            <w:r/>
            <w:r>
              <w:rPr>
                <w:b w:val="0"/>
                <w:sz w:val="17"/>
              </w:rPr>
              <w:t>Primary/secondary/destructive variants; explicit consequences.</w:t>
            </w:r>
          </w:p>
        </w:tc>
      </w:tr>
      <w:tr>
        <w:tc>
          <w:tcPr>
            <w:tcW w:type="dxa" w:w="3408"/>
            <w:vAlign w:val="center"/>
          </w:tcPr>
          <w:p>
            <w:r/>
            <w:r>
              <w:rPr>
                <w:b w:val="0"/>
                <w:sz w:val="17"/>
              </w:rPr>
              <w:t>Map legend</w:t>
            </w:r>
          </w:p>
        </w:tc>
        <w:tc>
          <w:tcPr>
            <w:tcW w:type="dxa" w:w="3408"/>
            <w:vAlign w:val="center"/>
          </w:tcPr>
          <w:p>
            <w:r/>
            <w:r>
              <w:rPr>
                <w:b w:val="0"/>
                <w:sz w:val="17"/>
              </w:rPr>
              <w:t>Decode overlays</w:t>
            </w:r>
          </w:p>
        </w:tc>
        <w:tc>
          <w:tcPr>
            <w:tcW w:type="dxa" w:w="3408"/>
            <w:vAlign w:val="center"/>
          </w:tcPr>
          <w:p>
            <w:r/>
            <w:r>
              <w:rPr>
                <w:b w:val="0"/>
                <w:sz w:val="17"/>
              </w:rPr>
              <w:t>Zone type, state, time horizon, node class, uncertainty/context.</w:t>
            </w:r>
          </w:p>
        </w:tc>
      </w:tr>
      <w:tr>
        <w:tc>
          <w:tcPr>
            <w:tcW w:type="dxa" w:w="3408"/>
            <w:vAlign w:val="center"/>
          </w:tcPr>
          <w:p>
            <w:r/>
            <w:r>
              <w:rPr>
                <w:b w:val="0"/>
                <w:sz w:val="17"/>
              </w:rPr>
              <w:t>Toast/banner</w:t>
            </w:r>
          </w:p>
        </w:tc>
        <w:tc>
          <w:tcPr>
            <w:tcW w:type="dxa" w:w="3408"/>
            <w:vAlign w:val="center"/>
          </w:tcPr>
          <w:p>
            <w:r/>
            <w:r>
              <w:rPr>
                <w:b w:val="0"/>
                <w:sz w:val="17"/>
              </w:rPr>
              <w:t>Transient or persistent system message</w:t>
            </w:r>
          </w:p>
        </w:tc>
        <w:tc>
          <w:tcPr>
            <w:tcW w:type="dxa" w:w="3408"/>
            <w:vAlign w:val="center"/>
          </w:tcPr>
          <w:p>
            <w:r/>
            <w:r>
              <w:rPr>
                <w:b w:val="0"/>
                <w:sz w:val="17"/>
              </w:rPr>
              <w:t>Success, warning, degraded, failure; emergency states use persistent banners or panels.</w:t>
            </w:r>
          </w:p>
        </w:tc>
      </w:tr>
      <w:tr>
        <w:tc>
          <w:tcPr>
            <w:tcW w:type="dxa" w:w="3408"/>
            <w:vAlign w:val="center"/>
          </w:tcPr>
          <w:p>
            <w:r/>
            <w:r>
              <w:rPr>
                <w:b w:val="0"/>
                <w:sz w:val="17"/>
              </w:rPr>
              <w:t>Confirmation dialog</w:t>
            </w:r>
          </w:p>
        </w:tc>
        <w:tc>
          <w:tcPr>
            <w:tcW w:type="dxa" w:w="3408"/>
            <w:vAlign w:val="center"/>
          </w:tcPr>
          <w:p>
            <w:r/>
            <w:r>
              <w:rPr>
                <w:b w:val="0"/>
                <w:sz w:val="17"/>
              </w:rPr>
              <w:t>Protect high-impact actions</w:t>
            </w:r>
          </w:p>
        </w:tc>
        <w:tc>
          <w:tcPr>
            <w:tcW w:type="dxa" w:w="3408"/>
            <w:vAlign w:val="center"/>
          </w:tcPr>
          <w:p>
            <w:r/>
            <w:r>
              <w:rPr>
                <w:b w:val="0"/>
                <w:sz w:val="17"/>
              </w:rPr>
              <w:t>Required for cancel/stand-down/reset/delete and other irreversible actions; never block urgent alert acknowledgement unnecessarily.</w:t>
            </w:r>
          </w:p>
        </w:tc>
      </w:tr>
    </w:tbl>
    <w:p>
      <w:pPr>
        <w:pStyle w:val="Heading2"/>
        <w:spacing w:after="80" w:line="252" w:lineRule="auto"/>
      </w:pPr>
      <w:r>
        <w:t>3.1 Buttons and actions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D9EAF0"/>
          </w:tcPr>
          <w:p>
            <w:r/>
            <w:r>
              <w:rPr>
                <w:b/>
                <w:sz w:val="18"/>
              </w:rPr>
              <w:t>Action class</w:t>
            </w:r>
          </w:p>
        </w:tc>
        <w:tc>
          <w:tcPr>
            <w:tcW w:type="dxa" w:w="3408"/>
            <w:vAlign w:val="center"/>
            <w:shd w:fill="D9EAF0"/>
          </w:tcPr>
          <w:p>
            <w:r/>
            <w:r>
              <w:rPr>
                <w:b/>
                <w:sz w:val="18"/>
              </w:rPr>
              <w:t>Examples</w:t>
            </w:r>
          </w:p>
        </w:tc>
        <w:tc>
          <w:tcPr>
            <w:tcW w:type="dxa" w:w="3408"/>
            <w:vAlign w:val="center"/>
            <w:shd w:fill="D9EAF0"/>
          </w:tcPr>
          <w:p>
            <w:r/>
            <w:r>
              <w:rPr>
                <w:b/>
                <w:sz w:val="18"/>
              </w:rPr>
              <w:t>Interaction rule</w:t>
            </w:r>
          </w:p>
        </w:tc>
      </w:tr>
      <w:tr>
        <w:tc>
          <w:tcPr>
            <w:tcW w:type="dxa" w:w="3408"/>
            <w:vAlign w:val="center"/>
          </w:tcPr>
          <w:p>
            <w:r/>
            <w:r>
              <w:rPr>
                <w:b w:val="0"/>
                <w:sz w:val="17"/>
              </w:rPr>
              <w:t>Primary</w:t>
            </w:r>
          </w:p>
        </w:tc>
        <w:tc>
          <w:tcPr>
            <w:tcW w:type="dxa" w:w="3408"/>
            <w:vAlign w:val="center"/>
          </w:tcPr>
          <w:p>
            <w:r/>
            <w:r>
              <w:rPr>
                <w:b w:val="0"/>
                <w:sz w:val="17"/>
              </w:rPr>
              <w:t>Acknowledge alert; Open incident; Get safe route</w:t>
            </w:r>
          </w:p>
        </w:tc>
        <w:tc>
          <w:tcPr>
            <w:tcW w:type="dxa" w:w="3408"/>
            <w:vAlign w:val="center"/>
          </w:tcPr>
          <w:p>
            <w:r/>
            <w:r>
              <w:rPr>
                <w:b w:val="0"/>
                <w:sz w:val="17"/>
              </w:rPr>
              <w:t>One visually dominant action per surface.</w:t>
            </w:r>
          </w:p>
        </w:tc>
      </w:tr>
      <w:tr>
        <w:tc>
          <w:tcPr>
            <w:tcW w:type="dxa" w:w="3408"/>
            <w:vAlign w:val="center"/>
          </w:tcPr>
          <w:p>
            <w:r/>
            <w:r>
              <w:rPr>
                <w:b w:val="0"/>
                <w:sz w:val="17"/>
              </w:rPr>
              <w:t>Secondary</w:t>
            </w:r>
          </w:p>
        </w:tc>
        <w:tc>
          <w:tcPr>
            <w:tcW w:type="dxa" w:w="3408"/>
            <w:vAlign w:val="center"/>
          </w:tcPr>
          <w:p>
            <w:r/>
            <w:r>
              <w:rPr>
                <w:b w:val="0"/>
                <w:sz w:val="17"/>
              </w:rPr>
              <w:t>Explain; View details; Open telemetry</w:t>
            </w:r>
          </w:p>
        </w:tc>
        <w:tc>
          <w:tcPr>
            <w:tcW w:type="dxa" w:w="3408"/>
            <w:vAlign w:val="center"/>
          </w:tcPr>
          <w:p>
            <w:r/>
            <w:r>
              <w:rPr>
                <w:b w:val="0"/>
                <w:sz w:val="17"/>
              </w:rPr>
              <w:t>Must never visually compete with life-safety action.</w:t>
            </w:r>
          </w:p>
        </w:tc>
      </w:tr>
      <w:tr>
        <w:tc>
          <w:tcPr>
            <w:tcW w:type="dxa" w:w="3408"/>
            <w:vAlign w:val="center"/>
          </w:tcPr>
          <w:p>
            <w:r/>
            <w:r>
              <w:rPr>
                <w:b w:val="0"/>
                <w:sz w:val="17"/>
              </w:rPr>
              <w:t>Destructive</w:t>
            </w:r>
          </w:p>
        </w:tc>
        <w:tc>
          <w:tcPr>
            <w:tcW w:type="dxa" w:w="3408"/>
            <w:vAlign w:val="center"/>
          </w:tcPr>
          <w:p>
            <w:r/>
            <w:r>
              <w:rPr>
                <w:b w:val="0"/>
                <w:sz w:val="17"/>
              </w:rPr>
              <w:t>Cancel alert; Stand down; Delete simulation</w:t>
            </w:r>
          </w:p>
        </w:tc>
        <w:tc>
          <w:tcPr>
            <w:tcW w:type="dxa" w:w="3408"/>
            <w:vAlign w:val="center"/>
          </w:tcPr>
          <w:p>
            <w:r/>
            <w:r>
              <w:rPr>
                <w:b w:val="0"/>
                <w:sz w:val="17"/>
              </w:rPr>
              <w:t>Require explicit confirmation and show scope.</w:t>
            </w:r>
          </w:p>
        </w:tc>
      </w:tr>
      <w:tr>
        <w:tc>
          <w:tcPr>
            <w:tcW w:type="dxa" w:w="3408"/>
            <w:vAlign w:val="center"/>
          </w:tcPr>
          <w:p>
            <w:r/>
            <w:r>
              <w:rPr>
                <w:b w:val="0"/>
                <w:sz w:val="17"/>
              </w:rPr>
              <w:t>Emergency</w:t>
            </w:r>
          </w:p>
        </w:tc>
        <w:tc>
          <w:tcPr>
            <w:tcW w:type="dxa" w:w="3408"/>
            <w:vAlign w:val="center"/>
          </w:tcPr>
          <w:p>
            <w:r/>
            <w:r>
              <w:rPr>
                <w:b w:val="0"/>
                <w:sz w:val="17"/>
              </w:rPr>
              <w:t>SOS; Shelter in place; Get help</w:t>
            </w:r>
          </w:p>
        </w:tc>
        <w:tc>
          <w:tcPr>
            <w:tcW w:type="dxa" w:w="3408"/>
            <w:vAlign w:val="center"/>
          </w:tcPr>
          <w:p>
            <w:r/>
            <w:r>
              <w:rPr>
                <w:b w:val="0"/>
                <w:sz w:val="17"/>
              </w:rPr>
              <w:t>Large target, persistent, accessible, available even when map/data fail.</w:t>
            </w:r>
          </w:p>
        </w:tc>
      </w:tr>
      <w:tr>
        <w:tc>
          <w:tcPr>
            <w:tcW w:type="dxa" w:w="3408"/>
            <w:vAlign w:val="center"/>
          </w:tcPr>
          <w:p>
            <w:r/>
            <w:r>
              <w:rPr>
                <w:b w:val="0"/>
                <w:sz w:val="17"/>
              </w:rPr>
              <w:t>Mode switch</w:t>
            </w:r>
          </w:p>
        </w:tc>
        <w:tc>
          <w:tcPr>
            <w:tcW w:type="dxa" w:w="3408"/>
            <w:vAlign w:val="center"/>
          </w:tcPr>
          <w:p>
            <w:r/>
            <w:r>
              <w:rPr>
                <w:b w:val="0"/>
                <w:sz w:val="17"/>
              </w:rPr>
              <w:t>LIVE / SIMULATION</w:t>
            </w:r>
          </w:p>
        </w:tc>
        <w:tc>
          <w:tcPr>
            <w:tcW w:type="dxa" w:w="3408"/>
            <w:vAlign w:val="center"/>
          </w:tcPr>
          <w:p>
            <w:r/>
            <w:r>
              <w:rPr>
                <w:b w:val="0"/>
                <w:sz w:val="17"/>
              </w:rPr>
              <w:t>Prominent, mutually exclusive; always show current mode.</w:t>
            </w:r>
          </w:p>
        </w:tc>
      </w:tr>
    </w:tbl>
    <w:p>
      <w:pPr>
        <w:pStyle w:val="Heading1"/>
        <w:spacing w:after="80" w:line="252" w:lineRule="auto"/>
      </w:pPr>
      <w:r>
        <w:t>4. Layout and Navigation Architecture</w:t>
      </w:r>
    </w:p>
    <w:p>
      <w:pPr>
        <w:spacing w:after="80" w:line="252" w:lineRule="auto"/>
      </w:pPr>
      <w:r>
        <w:t>The authority application uses a persistent navigation shell. The citizen experience deliberately removes administrative complexity and uses a task-first flow. Both products share terminology and state semantics.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AF0"/>
          </w:tcPr>
          <w:p>
            <w:r/>
            <w:r>
              <w:rPr>
                <w:b/>
                <w:sz w:val="18"/>
              </w:rPr>
              <w:t>Authority shell area</w:t>
            </w:r>
          </w:p>
        </w:tc>
        <w:tc>
          <w:tcPr>
            <w:tcW w:type="dxa" w:w="5112"/>
            <w:vAlign w:val="center"/>
            <w:shd w:fill="D9EAF0"/>
          </w:tcPr>
          <w:p>
            <w:r/>
            <w:r>
              <w:rPr>
                <w:b/>
                <w:sz w:val="18"/>
              </w:rPr>
              <w:t>Behavior</w:t>
            </w:r>
          </w:p>
        </w:tc>
      </w:tr>
      <w:tr>
        <w:tc>
          <w:tcPr>
            <w:tcW w:type="dxa" w:w="5112"/>
            <w:vAlign w:val="center"/>
          </w:tcPr>
          <w:p>
            <w:r/>
            <w:r>
              <w:rPr>
                <w:b w:val="0"/>
                <w:sz w:val="17"/>
              </w:rPr>
              <w:t>Top bar</w:t>
            </w:r>
          </w:p>
        </w:tc>
        <w:tc>
          <w:tcPr>
            <w:tcW w:type="dxa" w:w="5112"/>
            <w:vAlign w:val="center"/>
          </w:tcPr>
          <w:p>
            <w:r/>
            <w:r>
              <w:rPr>
                <w:b w:val="0"/>
                <w:sz w:val="17"/>
              </w:rPr>
              <w:t>System identity, current mode, global freshness/connection status, operator identity, alerts/critical state indicator.</w:t>
            </w:r>
          </w:p>
        </w:tc>
      </w:tr>
      <w:tr>
        <w:tc>
          <w:tcPr>
            <w:tcW w:type="dxa" w:w="5112"/>
            <w:vAlign w:val="center"/>
          </w:tcPr>
          <w:p>
            <w:r/>
            <w:r>
              <w:rPr>
                <w:b w:val="0"/>
                <w:sz w:val="17"/>
              </w:rPr>
              <w:t>Primary navigation</w:t>
            </w:r>
          </w:p>
        </w:tc>
        <w:tc>
          <w:tcPr>
            <w:tcW w:type="dxa" w:w="5112"/>
            <w:vAlign w:val="center"/>
          </w:tcPr>
          <w:p>
            <w:r/>
            <w:r>
              <w:rPr>
                <w:b w:val="0"/>
                <w:sz w:val="17"/>
              </w:rPr>
              <w:t>Overview, Incidents, Fire Spread, Affected Area &amp; Impact, Multi-Hazard &amp; Simulation, Nodes &amp; Network, Telemetry &amp; Intelligence, Citizen SOS, Alert Management, Historical Analysis, Response &amp; Actions, Audit Trail, System.</w:t>
            </w:r>
          </w:p>
        </w:tc>
      </w:tr>
      <w:tr>
        <w:tc>
          <w:tcPr>
            <w:tcW w:type="dxa" w:w="5112"/>
            <w:vAlign w:val="center"/>
          </w:tcPr>
          <w:p>
            <w:r/>
            <w:r>
              <w:rPr>
                <w:b w:val="0"/>
                <w:sz w:val="17"/>
              </w:rPr>
              <w:t>Main workspace</w:t>
            </w:r>
          </w:p>
        </w:tc>
        <w:tc>
          <w:tcPr>
            <w:tcW w:type="dxa" w:w="5112"/>
            <w:vAlign w:val="center"/>
          </w:tcPr>
          <w:p>
            <w:r/>
            <w:r>
              <w:rPr>
                <w:b w:val="0"/>
                <w:sz w:val="17"/>
              </w:rPr>
              <w:t>Map/table/chart + side panel where context requires simultaneous situational awareness.</w:t>
            </w:r>
          </w:p>
        </w:tc>
      </w:tr>
      <w:tr>
        <w:tc>
          <w:tcPr>
            <w:tcW w:type="dxa" w:w="5112"/>
            <w:vAlign w:val="center"/>
          </w:tcPr>
          <w:p>
            <w:r/>
            <w:r>
              <w:rPr>
                <w:b w:val="0"/>
                <w:sz w:val="17"/>
              </w:rPr>
              <w:t>Context side panel</w:t>
            </w:r>
          </w:p>
        </w:tc>
        <w:tc>
          <w:tcPr>
            <w:tcW w:type="dxa" w:w="5112"/>
            <w:vAlign w:val="center"/>
          </w:tcPr>
          <w:p>
            <w:r/>
            <w:r>
              <w:rPr>
                <w:b w:val="0"/>
                <w:sz w:val="17"/>
              </w:rPr>
              <w:t>Opens on node/incident/SOS selection without destroying map state; can pin for comparison.</w:t>
            </w:r>
          </w:p>
        </w:tc>
      </w:tr>
      <w:tr>
        <w:tc>
          <w:tcPr>
            <w:tcW w:type="dxa" w:w="5112"/>
            <w:vAlign w:val="center"/>
          </w:tcPr>
          <w:p>
            <w:r/>
            <w:r>
              <w:rPr>
                <w:b w:val="0"/>
                <w:sz w:val="17"/>
              </w:rPr>
              <w:t>Bottom/utility region</w:t>
            </w:r>
          </w:p>
        </w:tc>
        <w:tc>
          <w:tcPr>
            <w:tcW w:type="dxa" w:w="5112"/>
            <w:vAlign w:val="center"/>
          </w:tcPr>
          <w:p>
            <w:r/>
            <w:r>
              <w:rPr>
                <w:b w:val="0"/>
                <w:sz w:val="17"/>
              </w:rPr>
              <w:t>Legend, time controls, scale, map status, data source/freshness.</w:t>
            </w:r>
          </w:p>
        </w:tc>
      </w:tr>
    </w:tbl>
    <w:p>
      <w:pPr>
        <w:pStyle w:val="Heading2"/>
        <w:spacing w:after="80" w:line="252" w:lineRule="auto"/>
      </w:pPr>
      <w:r>
        <w:t>4.1 Responsive behavior</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D9EAF0"/>
          </w:tcPr>
          <w:p>
            <w:r/>
            <w:r>
              <w:rPr>
                <w:b/>
                <w:sz w:val="18"/>
              </w:rPr>
              <w:t>Viewport</w:t>
            </w:r>
          </w:p>
        </w:tc>
        <w:tc>
          <w:tcPr>
            <w:tcW w:type="dxa" w:w="3408"/>
            <w:vAlign w:val="center"/>
            <w:shd w:fill="D9EAF0"/>
          </w:tcPr>
          <w:p>
            <w:r/>
            <w:r>
              <w:rPr>
                <w:b/>
                <w:sz w:val="18"/>
              </w:rPr>
              <w:t>Authority</w:t>
            </w:r>
          </w:p>
        </w:tc>
        <w:tc>
          <w:tcPr>
            <w:tcW w:type="dxa" w:w="3408"/>
            <w:vAlign w:val="center"/>
            <w:shd w:fill="D9EAF0"/>
          </w:tcPr>
          <w:p>
            <w:r/>
            <w:r>
              <w:rPr>
                <w:b/>
                <w:sz w:val="18"/>
              </w:rPr>
              <w:t>Citizen</w:t>
            </w:r>
          </w:p>
        </w:tc>
      </w:tr>
      <w:tr>
        <w:tc>
          <w:tcPr>
            <w:tcW w:type="dxa" w:w="3408"/>
            <w:vAlign w:val="center"/>
          </w:tcPr>
          <w:p>
            <w:r/>
            <w:r>
              <w:rPr>
                <w:b w:val="0"/>
                <w:sz w:val="17"/>
              </w:rPr>
              <w:t>Desktop</w:t>
            </w:r>
          </w:p>
        </w:tc>
        <w:tc>
          <w:tcPr>
            <w:tcW w:type="dxa" w:w="3408"/>
            <w:vAlign w:val="center"/>
          </w:tcPr>
          <w:p>
            <w:r/>
            <w:r>
              <w:rPr>
                <w:b w:val="0"/>
                <w:sz w:val="17"/>
              </w:rPr>
              <w:t>Full navigation, multi-panel analytical layout.</w:t>
            </w:r>
          </w:p>
        </w:tc>
        <w:tc>
          <w:tcPr>
            <w:tcW w:type="dxa" w:w="3408"/>
            <w:vAlign w:val="center"/>
          </w:tcPr>
          <w:p>
            <w:r/>
            <w:r>
              <w:rPr>
                <w:b w:val="0"/>
                <w:sz w:val="17"/>
              </w:rPr>
              <w:t>Single-column emergency page or 2-column safe-place/map view.</w:t>
            </w:r>
          </w:p>
        </w:tc>
      </w:tr>
      <w:tr>
        <w:tc>
          <w:tcPr>
            <w:tcW w:type="dxa" w:w="3408"/>
            <w:vAlign w:val="center"/>
          </w:tcPr>
          <w:p>
            <w:r/>
            <w:r>
              <w:rPr>
                <w:b w:val="0"/>
                <w:sz w:val="17"/>
              </w:rPr>
              <w:t>Tablet</w:t>
            </w:r>
          </w:p>
        </w:tc>
        <w:tc>
          <w:tcPr>
            <w:tcW w:type="dxa" w:w="3408"/>
            <w:vAlign w:val="center"/>
          </w:tcPr>
          <w:p>
            <w:r/>
            <w:r>
              <w:rPr>
                <w:b w:val="0"/>
                <w:sz w:val="17"/>
              </w:rPr>
              <w:t>Collapsible nav, prioritized map + command card; panels stack when necessary.</w:t>
            </w:r>
          </w:p>
        </w:tc>
        <w:tc>
          <w:tcPr>
            <w:tcW w:type="dxa" w:w="3408"/>
            <w:vAlign w:val="center"/>
          </w:tcPr>
          <w:p>
            <w:r/>
            <w:r>
              <w:rPr>
                <w:b w:val="0"/>
                <w:sz w:val="17"/>
              </w:rPr>
              <w:t>Large touch controls; map/action card alternation.</w:t>
            </w:r>
          </w:p>
        </w:tc>
      </w:tr>
      <w:tr>
        <w:tc>
          <w:tcPr>
            <w:tcW w:type="dxa" w:w="3408"/>
            <w:vAlign w:val="center"/>
          </w:tcPr>
          <w:p>
            <w:r/>
            <w:r>
              <w:rPr>
                <w:b w:val="0"/>
                <w:sz w:val="17"/>
              </w:rPr>
              <w:t>Mobile</w:t>
            </w:r>
          </w:p>
        </w:tc>
        <w:tc>
          <w:tcPr>
            <w:tcW w:type="dxa" w:w="3408"/>
            <w:vAlign w:val="center"/>
          </w:tcPr>
          <w:p>
            <w:r/>
            <w:r>
              <w:rPr>
                <w:b w:val="0"/>
                <w:sz w:val="17"/>
              </w:rPr>
              <w:t>Operational priority only; secondary analytics collapse.</w:t>
            </w:r>
          </w:p>
        </w:tc>
        <w:tc>
          <w:tcPr>
            <w:tcW w:type="dxa" w:w="3408"/>
            <w:vAlign w:val="center"/>
          </w:tcPr>
          <w:p>
            <w:r/>
            <w:r>
              <w:rPr>
                <w:b w:val="0"/>
                <w:sz w:val="17"/>
              </w:rPr>
              <w:t>Emergency-first; persistent SOS; cached local mode; no dense tables.</w:t>
            </w:r>
          </w:p>
        </w:tc>
      </w:tr>
      <w:tr>
        <w:tc>
          <w:tcPr>
            <w:tcW w:type="dxa" w:w="3408"/>
            <w:vAlign w:val="center"/>
          </w:tcPr>
          <w:p>
            <w:r/>
            <w:r>
              <w:rPr>
                <w:b w:val="0"/>
                <w:sz w:val="17"/>
              </w:rPr>
              <w:t>Offline local AP</w:t>
            </w:r>
          </w:p>
        </w:tc>
        <w:tc>
          <w:tcPr>
            <w:tcW w:type="dxa" w:w="3408"/>
            <w:vAlign w:val="center"/>
          </w:tcPr>
          <w:p>
            <w:r/>
            <w:r>
              <w:rPr>
                <w:b w:val="0"/>
                <w:sz w:val="17"/>
              </w:rPr>
              <w:t>Minimal authority diagnostics only if exposed; prioritize local node state.</w:t>
            </w:r>
          </w:p>
        </w:tc>
        <w:tc>
          <w:tcPr>
            <w:tcW w:type="dxa" w:w="3408"/>
            <w:vAlign w:val="center"/>
          </w:tcPr>
          <w:p>
            <w:r/>
            <w:r>
              <w:rPr>
                <w:b w:val="0"/>
                <w:sz w:val="17"/>
              </w:rPr>
              <w:t>Same emergency information architecture, served locally, no cloud dependency.</w:t>
            </w:r>
          </w:p>
        </w:tc>
      </w:tr>
    </w:tbl>
    <w:p>
      <w:pPr>
        <w:pStyle w:val="Heading1"/>
        <w:spacing w:after="80" w:line="252" w:lineRule="auto"/>
      </w:pPr>
      <w:r>
        <w:t>5. Map and Geospatial Visual Language</w:t>
      </w:r>
    </w:p>
    <w:p>
      <w:pPr>
        <w:spacing w:after="80" w:line="252" w:lineRule="auto"/>
      </w:pPr>
      <w:r>
        <w:t>Maps are a primary operational canvas, not decoration. The frontend renders authoritative geometries and layers generated by the backend/geospatial engine. The frontend must not independently invent fire spread or risk geometry.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D9EAF0"/>
          </w:tcPr>
          <w:p>
            <w:r/>
            <w:r>
              <w:rPr>
                <w:b/>
                <w:sz w:val="18"/>
              </w:rPr>
              <w:t>Layer</w:t>
            </w:r>
          </w:p>
        </w:tc>
        <w:tc>
          <w:tcPr>
            <w:tcW w:type="dxa" w:w="3408"/>
            <w:vAlign w:val="center"/>
            <w:shd w:fill="D9EAF0"/>
          </w:tcPr>
          <w:p>
            <w:r/>
            <w:r>
              <w:rPr>
                <w:b/>
                <w:sz w:val="18"/>
              </w:rPr>
              <w:t>Visual treatment</w:t>
            </w:r>
          </w:p>
        </w:tc>
        <w:tc>
          <w:tcPr>
            <w:tcW w:type="dxa" w:w="3408"/>
            <w:vAlign w:val="center"/>
            <w:shd w:fill="D9EAF0"/>
          </w:tcPr>
          <w:p>
            <w:r/>
            <w:r>
              <w:rPr>
                <w:b/>
                <w:sz w:val="18"/>
              </w:rPr>
              <w:t>Interaction</w:t>
            </w:r>
          </w:p>
        </w:tc>
      </w:tr>
      <w:tr>
        <w:tc>
          <w:tcPr>
            <w:tcW w:type="dxa" w:w="3408"/>
            <w:vAlign w:val="center"/>
          </w:tcPr>
          <w:p>
            <w:r/>
            <w:r>
              <w:rPr>
                <w:b w:val="0"/>
                <w:sz w:val="17"/>
              </w:rPr>
              <w:t>Node</w:t>
            </w:r>
          </w:p>
        </w:tc>
        <w:tc>
          <w:tcPr>
            <w:tcW w:type="dxa" w:w="3408"/>
            <w:vAlign w:val="center"/>
          </w:tcPr>
          <w:p>
            <w:r/>
            <w:r>
              <w:rPr>
                <w:b w:val="0"/>
                <w:sz w:val="17"/>
              </w:rPr>
              <w:t>Blue field/slave nodes; yellow Master; icon identifies type.</w:t>
            </w:r>
          </w:p>
        </w:tc>
        <w:tc>
          <w:tcPr>
            <w:tcW w:type="dxa" w:w="3408"/>
            <w:vAlign w:val="center"/>
          </w:tcPr>
          <w:p>
            <w:r/>
            <w:r>
              <w:rPr>
                <w:b w:val="0"/>
                <w:sz w:val="17"/>
              </w:rPr>
              <w:t>Click opens node side panel.</w:t>
            </w:r>
          </w:p>
        </w:tc>
      </w:tr>
      <w:tr>
        <w:tc>
          <w:tcPr>
            <w:tcW w:type="dxa" w:w="3408"/>
            <w:vAlign w:val="center"/>
          </w:tcPr>
          <w:p>
            <w:r/>
            <w:r>
              <w:rPr>
                <w:b w:val="0"/>
                <w:sz w:val="17"/>
              </w:rPr>
              <w:t>Logical link</w:t>
            </w:r>
          </w:p>
        </w:tc>
        <w:tc>
          <w:tcPr>
            <w:tcW w:type="dxa" w:w="3408"/>
            <w:vAlign w:val="center"/>
          </w:tcPr>
          <w:p>
            <w:r/>
            <w:r>
              <w:rPr>
                <w:b w:val="0"/>
                <w:sz w:val="17"/>
              </w:rPr>
              <w:t>Dotted relationship line where useful.</w:t>
            </w:r>
          </w:p>
        </w:tc>
        <w:tc>
          <w:tcPr>
            <w:tcW w:type="dxa" w:w="3408"/>
            <w:vAlign w:val="center"/>
          </w:tcPr>
          <w:p>
            <w:r/>
            <w:r>
              <w:rPr>
                <w:b w:val="0"/>
                <w:sz w:val="17"/>
              </w:rPr>
              <w:t>Toggleable; not confused with physical radio path.</w:t>
            </w:r>
          </w:p>
        </w:tc>
      </w:tr>
      <w:tr>
        <w:tc>
          <w:tcPr>
            <w:tcW w:type="dxa" w:w="3408"/>
            <w:vAlign w:val="center"/>
          </w:tcPr>
          <w:p>
            <w:r/>
            <w:r>
              <w:rPr>
                <w:b w:val="0"/>
                <w:sz w:val="17"/>
              </w:rPr>
              <w:t>Current affected</w:t>
            </w:r>
          </w:p>
        </w:tc>
        <w:tc>
          <w:tcPr>
            <w:tcW w:type="dxa" w:w="3408"/>
            <w:vAlign w:val="center"/>
          </w:tcPr>
          <w:p>
            <w:r/>
            <w:r>
              <w:rPr>
                <w:b w:val="0"/>
                <w:sz w:val="17"/>
              </w:rPr>
              <w:t>Solid/filled hazard footprint with strong label.</w:t>
            </w:r>
          </w:p>
        </w:tc>
        <w:tc>
          <w:tcPr>
            <w:tcW w:type="dxa" w:w="3408"/>
            <w:vAlign w:val="center"/>
          </w:tcPr>
          <w:p>
            <w:r/>
            <w:r>
              <w:rPr>
                <w:b w:val="0"/>
                <w:sz w:val="17"/>
              </w:rPr>
              <w:t>Click for incident context.</w:t>
            </w:r>
          </w:p>
        </w:tc>
      </w:tr>
      <w:tr>
        <w:tc>
          <w:tcPr>
            <w:tcW w:type="dxa" w:w="3408"/>
            <w:vAlign w:val="center"/>
          </w:tcPr>
          <w:p>
            <w:r/>
            <w:r>
              <w:rPr>
                <w:b w:val="0"/>
                <w:sz w:val="17"/>
              </w:rPr>
              <w:t>Warning / awareness</w:t>
            </w:r>
          </w:p>
        </w:tc>
        <w:tc>
          <w:tcPr>
            <w:tcW w:type="dxa" w:w="3408"/>
            <w:vAlign w:val="center"/>
          </w:tcPr>
          <w:p>
            <w:r/>
            <w:r>
              <w:rPr>
                <w:b w:val="0"/>
                <w:sz w:val="17"/>
              </w:rPr>
              <w:t>Distinct lighter/hatched or contour treatment.</w:t>
            </w:r>
          </w:p>
        </w:tc>
        <w:tc>
          <w:tcPr>
            <w:tcW w:type="dxa" w:w="3408"/>
            <w:vAlign w:val="center"/>
          </w:tcPr>
          <w:p>
            <w:r/>
            <w:r>
              <w:rPr>
                <w:b w:val="0"/>
                <w:sz w:val="17"/>
              </w:rPr>
              <w:t>Legend must explain time horizon.</w:t>
            </w:r>
          </w:p>
        </w:tc>
      </w:tr>
      <w:tr>
        <w:tc>
          <w:tcPr>
            <w:tcW w:type="dxa" w:w="3408"/>
            <w:vAlign w:val="center"/>
          </w:tcPr>
          <w:p>
            <w:r/>
            <w:r>
              <w:rPr>
                <w:b w:val="0"/>
                <w:sz w:val="17"/>
              </w:rPr>
              <w:t>Projection</w:t>
            </w:r>
          </w:p>
        </w:tc>
        <w:tc>
          <w:tcPr>
            <w:tcW w:type="dxa" w:w="3408"/>
            <w:vAlign w:val="center"/>
          </w:tcPr>
          <w:p>
            <w:r/>
            <w:r>
              <w:rPr>
                <w:b w:val="0"/>
                <w:sz w:val="17"/>
              </w:rPr>
              <w:t>Clear future-horizon overlay; never indistinguishable from current state.</w:t>
            </w:r>
          </w:p>
        </w:tc>
        <w:tc>
          <w:tcPr>
            <w:tcW w:type="dxa" w:w="3408"/>
            <w:vAlign w:val="center"/>
          </w:tcPr>
          <w:p>
            <w:r/>
            <w:r>
              <w:rPr>
                <w:b w:val="0"/>
                <w:sz w:val="17"/>
              </w:rPr>
              <w:t>Time slider updates label/time horizon.</w:t>
            </w:r>
          </w:p>
        </w:tc>
      </w:tr>
      <w:tr>
        <w:tc>
          <w:tcPr>
            <w:tcW w:type="dxa" w:w="3408"/>
            <w:vAlign w:val="center"/>
          </w:tcPr>
          <w:p>
            <w:r/>
            <w:r>
              <w:rPr>
                <w:b w:val="0"/>
                <w:sz w:val="17"/>
              </w:rPr>
              <w:t>Operational buffer</w:t>
            </w:r>
          </w:p>
        </w:tc>
        <w:tc>
          <w:tcPr>
            <w:tcW w:type="dxa" w:w="3408"/>
            <w:vAlign w:val="center"/>
          </w:tcPr>
          <w:p>
            <w:r/>
            <w:r>
              <w:rPr>
                <w:b w:val="0"/>
                <w:sz w:val="17"/>
              </w:rPr>
              <w:t>Separate visual treatment from physical hazard geometry.</w:t>
            </w:r>
          </w:p>
        </w:tc>
        <w:tc>
          <w:tcPr>
            <w:tcW w:type="dxa" w:w="3408"/>
            <w:vAlign w:val="center"/>
          </w:tcPr>
          <w:p>
            <w:r/>
            <w:r>
              <w:rPr>
                <w:b w:val="0"/>
                <w:sz w:val="17"/>
              </w:rPr>
              <w:t>Legend explicitly says OPERATIONAL BUFFER.</w:t>
            </w:r>
          </w:p>
        </w:tc>
      </w:tr>
      <w:tr>
        <w:tc>
          <w:tcPr>
            <w:tcW w:type="dxa" w:w="3408"/>
            <w:vAlign w:val="center"/>
          </w:tcPr>
          <w:p>
            <w:r/>
            <w:r>
              <w:rPr>
                <w:b w:val="0"/>
                <w:sz w:val="17"/>
              </w:rPr>
              <w:t>Continuous risk surface</w:t>
            </w:r>
          </w:p>
        </w:tc>
        <w:tc>
          <w:tcPr>
            <w:tcW w:type="dxa" w:w="3408"/>
            <w:vAlign w:val="center"/>
          </w:tcPr>
          <w:p>
            <w:r/>
            <w:r>
              <w:rPr>
                <w:b w:val="0"/>
                <w:sz w:val="17"/>
              </w:rPr>
              <w:t>Transparent heat/gradient overlay.</w:t>
            </w:r>
          </w:p>
        </w:tc>
        <w:tc>
          <w:tcPr>
            <w:tcW w:type="dxa" w:w="3408"/>
            <w:vAlign w:val="center"/>
          </w:tcPr>
          <w:p>
            <w:r/>
            <w:r>
              <w:rPr>
                <w:b w:val="0"/>
                <w:sz w:val="17"/>
              </w:rPr>
              <w:t>Shows analytical risk index, not probability.</w:t>
            </w:r>
          </w:p>
        </w:tc>
      </w:tr>
      <w:tr>
        <w:tc>
          <w:tcPr>
            <w:tcW w:type="dxa" w:w="3408"/>
            <w:vAlign w:val="center"/>
          </w:tcPr>
          <w:p>
            <w:r/>
            <w:r>
              <w:rPr>
                <w:b w:val="0"/>
                <w:sz w:val="17"/>
              </w:rPr>
              <w:t>SOS marker</w:t>
            </w:r>
          </w:p>
        </w:tc>
        <w:tc>
          <w:tcPr>
            <w:tcW w:type="dxa" w:w="3408"/>
            <w:vAlign w:val="center"/>
          </w:tcPr>
          <w:p>
            <w:r/>
            <w:r>
              <w:rPr>
                <w:b w:val="0"/>
                <w:sz w:val="17"/>
              </w:rPr>
              <w:t>High-visibility person/help icon; category/tier on selection.</w:t>
            </w:r>
          </w:p>
        </w:tc>
        <w:tc>
          <w:tcPr>
            <w:tcW w:type="dxa" w:w="3408"/>
            <w:vAlign w:val="center"/>
          </w:tcPr>
          <w:p>
            <w:r/>
            <w:r>
              <w:rPr>
                <w:b w:val="0"/>
                <w:sz w:val="17"/>
              </w:rPr>
              <w:t>Click opens SOS queue/profile/contact.</w:t>
            </w:r>
          </w:p>
        </w:tc>
      </w:tr>
      <w:tr>
        <w:tc>
          <w:tcPr>
            <w:tcW w:type="dxa" w:w="3408"/>
            <w:vAlign w:val="center"/>
          </w:tcPr>
          <w:p>
            <w:r/>
            <w:r>
              <w:rPr>
                <w:b w:val="0"/>
                <w:sz w:val="17"/>
              </w:rPr>
              <w:t>Uncertainty/context</w:t>
            </w:r>
          </w:p>
        </w:tc>
        <w:tc>
          <w:tcPr>
            <w:tcW w:type="dxa" w:w="3408"/>
            <w:vAlign w:val="center"/>
          </w:tcPr>
          <w:p>
            <w:r/>
            <w:r>
              <w:rPr>
                <w:b w:val="0"/>
                <w:sz w:val="17"/>
              </w:rPr>
              <w:t>Pattern, opacity, or outline rather than color-only.</w:t>
            </w:r>
          </w:p>
        </w:tc>
        <w:tc>
          <w:tcPr>
            <w:tcW w:type="dxa" w:w="3408"/>
            <w:vAlign w:val="center"/>
          </w:tcPr>
          <w:p>
            <w:r/>
            <w:r>
              <w:rPr>
                <w:b w:val="0"/>
                <w:sz w:val="17"/>
              </w:rPr>
              <w:t>Explain source and meaning in legend.</w:t>
            </w:r>
          </w:p>
        </w:tc>
      </w:tr>
      <w:tr>
        <w:tc>
          <w:tcPr>
            <w:tcW w:type="dxa" w:w="3408"/>
            <w:vAlign w:val="center"/>
          </w:tcPr>
          <w:p>
            <w:r/>
            <w:r>
              <w:rPr>
                <w:b w:val="0"/>
                <w:sz w:val="17"/>
              </w:rPr>
              <w:t>Population/exposure</w:t>
            </w:r>
          </w:p>
        </w:tc>
        <w:tc>
          <w:tcPr>
            <w:tcW w:type="dxa" w:w="3408"/>
            <w:vAlign w:val="center"/>
          </w:tcPr>
          <w:p>
            <w:r/>
            <w:r>
              <w:rPr>
                <w:b w:val="0"/>
                <w:sz w:val="17"/>
              </w:rPr>
              <w:t>Secondary overlay, only when relevant.</w:t>
            </w:r>
          </w:p>
        </w:tc>
        <w:tc>
          <w:tcPr>
            <w:tcW w:type="dxa" w:w="3408"/>
            <w:vAlign w:val="center"/>
          </w:tcPr>
          <w:p>
            <w:r/>
            <w:r>
              <w:rPr>
                <w:b w:val="0"/>
                <w:sz w:val="17"/>
              </w:rPr>
              <w:t>Filterable to avoid map overload.</w:t>
            </w:r>
          </w:p>
        </w:tc>
      </w:tr>
    </w:tbl>
    <w:p>
      <w:pPr>
        <w:pStyle w:val="Heading2"/>
        <w:spacing w:after="80" w:line="252" w:lineRule="auto"/>
      </w:pPr>
      <w:r>
        <w:t>5.1 Fire Spread page</w:t>
      </w:r>
    </w:p>
    <w:p>
      <w:pPr>
        <w:pStyle w:val="ListNumber"/>
        <w:spacing w:after="80" w:line="252" w:lineRule="auto"/>
      </w:pPr>
      <w:r>
        <w:t>Place LIVE / SIMULATION toggle at the top of the page and repeat the mode in the map header.</w:t>
      </w:r>
    </w:p>
    <w:p>
      <w:pPr>
        <w:pStyle w:val="ListNumber"/>
        <w:spacing w:after="80" w:line="252" w:lineRule="auto"/>
      </w:pPr>
      <w:r>
        <w:t>Show current footprint, projected spread, time slider, play/pause, reset, and environment context in one coherent control group.</w:t>
      </w:r>
    </w:p>
    <w:p>
      <w:pPr>
        <w:pStyle w:val="ListNumber"/>
        <w:spacing w:after="80" w:line="252" w:lineRule="auto"/>
      </w:pPr>
      <w:r>
        <w:t>Expose wind direction and source/context as readable metadata, not as unexplained arrows.</w:t>
      </w:r>
    </w:p>
    <w:p>
      <w:pPr>
        <w:pStyle w:val="ListNumber"/>
        <w:spacing w:after="80" w:line="252" w:lineRule="auto"/>
      </w:pPr>
      <w:r>
        <w:t>Separate affected population/infrastructure from physical hazard geometry.</w:t>
      </w:r>
    </w:p>
    <w:p>
      <w:pPr>
        <w:pStyle w:val="ListNumber"/>
        <w:spacing w:after="80" w:line="252" w:lineRule="auto"/>
      </w:pPr>
      <w:r>
        <w:t>When environmental conditions change mid-run, show a projection-version or recalculation indicator rather than silently rewriting history.</w:t>
      </w:r>
    </w:p>
    <w:p>
      <w:pPr>
        <w:pStyle w:val="Heading1"/>
        <w:spacing w:after="80" w:line="252" w:lineRule="auto"/>
      </w:pPr>
      <w:r>
        <w:t>6. Authority Dashboard Interaction Patterns</w:t>
      </w:r>
    </w:p>
    <w:p>
      <w:pPr>
        <w:pStyle w:val="Heading2"/>
        <w:spacing w:after="80" w:line="252" w:lineRule="auto"/>
      </w:pPr>
      <w:r>
        <w:t>6.1 Incident Command Card</w:t>
      </w:r>
    </w:p>
    <w:p>
      <w:pPr>
        <w:spacing w:after="80" w:line="252" w:lineRule="auto"/>
      </w:pPr>
      <w:r>
        <w:t>Every active incident has a command card with a stable decision structure: hazard, state, severity, Information Condition, affected/current zone, evidence summary, latest transition, recommended action, human approval state, and freshness.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AF0"/>
          </w:tcPr>
          <w:p>
            <w:r/>
            <w:r>
              <w:rPr>
                <w:b/>
                <w:sz w:val="18"/>
              </w:rPr>
              <w:t>Card section</w:t>
            </w:r>
          </w:p>
        </w:tc>
        <w:tc>
          <w:tcPr>
            <w:tcW w:type="dxa" w:w="5112"/>
            <w:vAlign w:val="center"/>
            <w:shd w:fill="D9EAF0"/>
          </w:tcPr>
          <w:p>
            <w:r/>
            <w:r>
              <w:rPr>
                <w:b/>
                <w:sz w:val="18"/>
              </w:rPr>
              <w:t>Required content</w:t>
            </w:r>
          </w:p>
        </w:tc>
      </w:tr>
      <w:tr>
        <w:tc>
          <w:tcPr>
            <w:tcW w:type="dxa" w:w="5112"/>
            <w:vAlign w:val="center"/>
          </w:tcPr>
          <w:p>
            <w:r/>
            <w:r>
              <w:rPr>
                <w:b w:val="0"/>
                <w:sz w:val="17"/>
              </w:rPr>
              <w:t>Identity</w:t>
            </w:r>
          </w:p>
        </w:tc>
        <w:tc>
          <w:tcPr>
            <w:tcW w:type="dxa" w:w="5112"/>
            <w:vAlign w:val="center"/>
          </w:tcPr>
          <w:p>
            <w:r/>
            <w:r>
              <w:rPr>
                <w:b w:val="0"/>
                <w:sz w:val="17"/>
              </w:rPr>
              <w:t>Incident ID, hazard type, location/zone, created time, last state transition.</w:t>
            </w:r>
          </w:p>
        </w:tc>
      </w:tr>
      <w:tr>
        <w:tc>
          <w:tcPr>
            <w:tcW w:type="dxa" w:w="5112"/>
            <w:vAlign w:val="center"/>
          </w:tcPr>
          <w:p>
            <w:r/>
            <w:r>
              <w:rPr>
                <w:b w:val="0"/>
                <w:sz w:val="17"/>
              </w:rPr>
              <w:t>State</w:t>
            </w:r>
          </w:p>
        </w:tc>
        <w:tc>
          <w:tcPr>
            <w:tcW w:type="dxa" w:w="5112"/>
            <w:vAlign w:val="center"/>
          </w:tcPr>
          <w:p>
            <w:r/>
            <w:r>
              <w:rPr>
                <w:b w:val="0"/>
                <w:sz w:val="17"/>
              </w:rPr>
              <w:t>Current state chip + severity badge; explicit INFORMATION CONDITION.</w:t>
            </w:r>
          </w:p>
        </w:tc>
      </w:tr>
      <w:tr>
        <w:tc>
          <w:tcPr>
            <w:tcW w:type="dxa" w:w="5112"/>
            <w:vAlign w:val="center"/>
          </w:tcPr>
          <w:p>
            <w:r/>
            <w:r>
              <w:rPr>
                <w:b w:val="0"/>
                <w:sz w:val="17"/>
              </w:rPr>
              <w:t>Evidence</w:t>
            </w:r>
          </w:p>
        </w:tc>
        <w:tc>
          <w:tcPr>
            <w:tcW w:type="dxa" w:w="5112"/>
            <w:vAlign w:val="center"/>
          </w:tcPr>
          <w:p>
            <w:r/>
            <w:r>
              <w:rPr>
                <w:b w:val="0"/>
                <w:sz w:val="17"/>
              </w:rPr>
              <w:t>Core sensor/evidence groups, data freshness, baseline readiness, agreement summary.</w:t>
            </w:r>
          </w:p>
        </w:tc>
      </w:tr>
      <w:tr>
        <w:tc>
          <w:tcPr>
            <w:tcW w:type="dxa" w:w="5112"/>
            <w:vAlign w:val="center"/>
          </w:tcPr>
          <w:p>
            <w:r/>
            <w:r>
              <w:rPr>
                <w:b w:val="0"/>
                <w:sz w:val="17"/>
              </w:rPr>
              <w:t>Recommendation</w:t>
            </w:r>
          </w:p>
        </w:tc>
        <w:tc>
          <w:tcPr>
            <w:tcW w:type="dxa" w:w="5112"/>
            <w:vAlign w:val="center"/>
          </w:tcPr>
          <w:p>
            <w:r/>
            <w:r>
              <w:rPr>
                <w:b w:val="0"/>
                <w:sz w:val="17"/>
              </w:rPr>
              <w:t>What NexAlert recommends and why; distinguish recommendation from authorization.</w:t>
            </w:r>
          </w:p>
        </w:tc>
      </w:tr>
      <w:tr>
        <w:tc>
          <w:tcPr>
            <w:tcW w:type="dxa" w:w="5112"/>
            <w:vAlign w:val="center"/>
          </w:tcPr>
          <w:p>
            <w:r/>
            <w:r>
              <w:rPr>
                <w:b w:val="0"/>
                <w:sz w:val="17"/>
              </w:rPr>
              <w:t>Actions</w:t>
            </w:r>
          </w:p>
        </w:tc>
        <w:tc>
          <w:tcPr>
            <w:tcW w:type="dxa" w:w="5112"/>
            <w:vAlign w:val="center"/>
          </w:tcPr>
          <w:p>
            <w:r/>
            <w:r>
              <w:rPr>
                <w:b w:val="0"/>
                <w:sz w:val="17"/>
              </w:rPr>
              <w:t>Acknowledge, escalate, approve/issue alert, assign, stand down, open response plan according to permission.</w:t>
            </w:r>
          </w:p>
        </w:tc>
      </w:tr>
      <w:tr>
        <w:tc>
          <w:tcPr>
            <w:tcW w:type="dxa" w:w="5112"/>
            <w:vAlign w:val="center"/>
          </w:tcPr>
          <w:p>
            <w:r/>
            <w:r>
              <w:rPr>
                <w:b w:val="0"/>
                <w:sz w:val="17"/>
              </w:rPr>
              <w:t>Audit context</w:t>
            </w:r>
          </w:p>
        </w:tc>
        <w:tc>
          <w:tcPr>
            <w:tcW w:type="dxa" w:w="5112"/>
            <w:vAlign w:val="center"/>
          </w:tcPr>
          <w:p>
            <w:r/>
            <w:r>
              <w:rPr>
                <w:b w:val="0"/>
                <w:sz w:val="17"/>
              </w:rPr>
              <w:t>Who approved/changed state, when, and from which source/version.</w:t>
            </w:r>
          </w:p>
        </w:tc>
      </w:tr>
    </w:tbl>
    <w:p>
      <w:pPr>
        <w:pStyle w:val="Heading2"/>
        <w:spacing w:after="80" w:line="252" w:lineRule="auto"/>
      </w:pPr>
      <w:r>
        <w:t>6.2 Explain affordance</w:t>
      </w:r>
    </w:p>
    <w:p>
      <w:pPr>
        <w:spacing w:after="80" w:line="252" w:lineRule="auto"/>
      </w:pPr>
      <w:r>
        <w:t>The user-facing label is “Explain” rather than “AI reasoning”. The expansion is concise and operational: supporting evidence, counter-evidence, missing/invalid inputs, stale sensors, core-evidence coverage, and current confidence. Do not expose raw equations to routine operators unless the diagnostic view explicitly requests them.</w:t>
      </w:r>
    </w:p>
    <w:p>
      <w:pPr>
        <w:pStyle w:val="Heading2"/>
        <w:spacing w:after="80" w:line="252" w:lineRule="auto"/>
      </w:pPr>
      <w:r>
        <w:t>6.3 Alert-fatigue awareness</w:t>
      </w:r>
    </w:p>
    <w:p>
      <w:pPr>
        <w:spacing w:after="80" w:line="252" w:lineRule="auto"/>
      </w:pPr>
      <w:r>
        <w:t>The interface should expose alert frequency and repeated-event context. Repeated alerts for the same incident are grouped rather than presented as unrelated notifications. Escalation history remains available. Never suppress a critical alert merely because frequency is high.</w:t>
      </w:r>
    </w:p>
    <w:p>
      <w:pPr>
        <w:pStyle w:val="Heading1"/>
        <w:spacing w:after="80" w:line="252" w:lineRule="auto"/>
      </w:pPr>
      <w:r>
        <w:t>7. Citizen Safety Experience</w:t>
      </w:r>
    </w:p>
    <w:p>
      <w:pPr>
        <w:spacing w:after="80" w:line="252" w:lineRule="auto"/>
      </w:pPr>
      <w:r>
        <w:t>The citizen experience has two operating conditions: online and offline local Wi-Fi/captive portal. The information architecture stays the same so users do not need to relearn emergency semantics during network failure.</w:t>
      </w:r>
    </w:p>
    <w:p>
      <w:pPr>
        <w:pStyle w:val="Heading2"/>
        <w:spacing w:after="80" w:line="252" w:lineRule="auto"/>
      </w:pPr>
      <w:r>
        <w:t>7.1 Emergency first viewport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D9EAF0"/>
          </w:tcPr>
          <w:p>
            <w:r/>
            <w:r>
              <w:rPr>
                <w:b/>
                <w:sz w:val="18"/>
              </w:rPr>
              <w:t>Priority</w:t>
            </w:r>
          </w:p>
        </w:tc>
        <w:tc>
          <w:tcPr>
            <w:tcW w:type="dxa" w:w="3408"/>
            <w:vAlign w:val="center"/>
            <w:shd w:fill="D9EAF0"/>
          </w:tcPr>
          <w:p>
            <w:r/>
            <w:r>
              <w:rPr>
                <w:b/>
                <w:sz w:val="18"/>
              </w:rPr>
              <w:t>Element</w:t>
            </w:r>
          </w:p>
        </w:tc>
        <w:tc>
          <w:tcPr>
            <w:tcW w:type="dxa" w:w="3408"/>
            <w:vAlign w:val="center"/>
            <w:shd w:fill="D9EAF0"/>
          </w:tcPr>
          <w:p>
            <w:r/>
            <w:r>
              <w:rPr>
                <w:b/>
                <w:sz w:val="18"/>
              </w:rPr>
              <w:t>Behavior</w:t>
            </w:r>
          </w:p>
        </w:tc>
      </w:tr>
      <w:tr>
        <w:tc>
          <w:tcPr>
            <w:tcW w:type="dxa" w:w="3408"/>
            <w:vAlign w:val="center"/>
          </w:tcPr>
          <w:p>
            <w:r/>
            <w:r>
              <w:rPr>
                <w:b w:val="0"/>
                <w:sz w:val="17"/>
              </w:rPr>
              <w:t>1</w:t>
            </w:r>
          </w:p>
        </w:tc>
        <w:tc>
          <w:tcPr>
            <w:tcW w:type="dxa" w:w="3408"/>
            <w:vAlign w:val="center"/>
          </w:tcPr>
          <w:p>
            <w:r/>
            <w:r>
              <w:rPr>
                <w:b w:val="0"/>
                <w:sz w:val="17"/>
              </w:rPr>
              <w:t>Hazard + state + severity</w:t>
            </w:r>
          </w:p>
        </w:tc>
        <w:tc>
          <w:tcPr>
            <w:tcW w:type="dxa" w:w="3408"/>
            <w:vAlign w:val="center"/>
          </w:tcPr>
          <w:p>
            <w:r/>
            <w:r>
              <w:rPr>
                <w:b w:val="0"/>
                <w:sz w:val="17"/>
              </w:rPr>
              <w:t>Largest block; plain language; no ambiguous color-only encoding.</w:t>
            </w:r>
          </w:p>
        </w:tc>
      </w:tr>
      <w:tr>
        <w:tc>
          <w:tcPr>
            <w:tcW w:type="dxa" w:w="3408"/>
            <w:vAlign w:val="center"/>
          </w:tcPr>
          <w:p>
            <w:r/>
            <w:r>
              <w:rPr>
                <w:b w:val="0"/>
                <w:sz w:val="17"/>
              </w:rPr>
              <w:t>2</w:t>
            </w:r>
          </w:p>
        </w:tc>
        <w:tc>
          <w:tcPr>
            <w:tcW w:type="dxa" w:w="3408"/>
            <w:vAlign w:val="center"/>
          </w:tcPr>
          <w:p>
            <w:r/>
            <w:r>
              <w:rPr>
                <w:b w:val="0"/>
                <w:sz w:val="17"/>
              </w:rPr>
              <w:t>Distance + direction</w:t>
            </w:r>
          </w:p>
        </w:tc>
        <w:tc>
          <w:tcPr>
            <w:tcW w:type="dxa" w:w="3408"/>
            <w:vAlign w:val="center"/>
          </w:tcPr>
          <w:p>
            <w:r/>
            <w:r>
              <w:rPr>
                <w:b w:val="0"/>
                <w:sz w:val="17"/>
              </w:rPr>
              <w:t>Readable distance and cardinal/ordinal direction; geometry-aware when relevant.</w:t>
            </w:r>
          </w:p>
        </w:tc>
      </w:tr>
      <w:tr>
        <w:tc>
          <w:tcPr>
            <w:tcW w:type="dxa" w:w="3408"/>
            <w:vAlign w:val="center"/>
          </w:tcPr>
          <w:p>
            <w:r/>
            <w:r>
              <w:rPr>
                <w:b w:val="0"/>
                <w:sz w:val="17"/>
              </w:rPr>
              <w:t>3</w:t>
            </w:r>
          </w:p>
        </w:tc>
        <w:tc>
          <w:tcPr>
            <w:tcW w:type="dxa" w:w="3408"/>
            <w:vAlign w:val="center"/>
          </w:tcPr>
          <w:p>
            <w:r/>
            <w:r>
              <w:rPr>
                <w:b w:val="0"/>
                <w:sz w:val="17"/>
              </w:rPr>
              <w:t>Freshness</w:t>
            </w:r>
          </w:p>
        </w:tc>
        <w:tc>
          <w:tcPr>
            <w:tcW w:type="dxa" w:w="3408"/>
            <w:vAlign w:val="center"/>
          </w:tcPr>
          <w:p>
            <w:r/>
            <w:r>
              <w:rPr>
                <w:b w:val="0"/>
                <w:sz w:val="17"/>
              </w:rPr>
              <w:t>“Updated X ago” plus local/online source indicator.</w:t>
            </w:r>
          </w:p>
        </w:tc>
      </w:tr>
      <w:tr>
        <w:tc>
          <w:tcPr>
            <w:tcW w:type="dxa" w:w="3408"/>
            <w:vAlign w:val="center"/>
          </w:tcPr>
          <w:p>
            <w:r/>
            <w:r>
              <w:rPr>
                <w:b w:val="0"/>
                <w:sz w:val="17"/>
              </w:rPr>
              <w:t>4</w:t>
            </w:r>
          </w:p>
        </w:tc>
        <w:tc>
          <w:tcPr>
            <w:tcW w:type="dxa" w:w="3408"/>
            <w:vAlign w:val="center"/>
          </w:tcPr>
          <w:p>
            <w:r/>
            <w:r>
              <w:rPr>
                <w:b w:val="0"/>
                <w:sz w:val="17"/>
              </w:rPr>
              <w:t>Primary action</w:t>
            </w:r>
          </w:p>
        </w:tc>
        <w:tc>
          <w:tcPr>
            <w:tcW w:type="dxa" w:w="3408"/>
            <w:vAlign w:val="center"/>
          </w:tcPr>
          <w:p>
            <w:r/>
            <w:r>
              <w:rPr>
                <w:b w:val="0"/>
                <w:sz w:val="17"/>
              </w:rPr>
              <w:t>Get to safety / view safe place / shelter in place / follow authority instruction.</w:t>
            </w:r>
          </w:p>
        </w:tc>
      </w:tr>
      <w:tr>
        <w:tc>
          <w:tcPr>
            <w:tcW w:type="dxa" w:w="3408"/>
            <w:vAlign w:val="center"/>
          </w:tcPr>
          <w:p>
            <w:r/>
            <w:r>
              <w:rPr>
                <w:b w:val="0"/>
                <w:sz w:val="17"/>
              </w:rPr>
              <w:t>5</w:t>
            </w:r>
          </w:p>
        </w:tc>
        <w:tc>
          <w:tcPr>
            <w:tcW w:type="dxa" w:w="3408"/>
            <w:vAlign w:val="center"/>
          </w:tcPr>
          <w:p>
            <w:r/>
            <w:r>
              <w:rPr>
                <w:b w:val="0"/>
                <w:sz w:val="17"/>
              </w:rPr>
              <w:t>Map</w:t>
            </w:r>
          </w:p>
        </w:tc>
        <w:tc>
          <w:tcPr>
            <w:tcW w:type="dxa" w:w="3408"/>
            <w:vAlign w:val="center"/>
          </w:tcPr>
          <w:p>
            <w:r/>
            <w:r>
              <w:rPr>
                <w:b w:val="0"/>
                <w:sz w:val="17"/>
              </w:rPr>
              <w:t>Live or cached map with current/warning/projected zone distinction.</w:t>
            </w:r>
          </w:p>
        </w:tc>
      </w:tr>
      <w:tr>
        <w:tc>
          <w:tcPr>
            <w:tcW w:type="dxa" w:w="3408"/>
            <w:vAlign w:val="center"/>
          </w:tcPr>
          <w:p>
            <w:r/>
            <w:r>
              <w:rPr>
                <w:b w:val="0"/>
                <w:sz w:val="17"/>
              </w:rPr>
              <w:t>6</w:t>
            </w:r>
          </w:p>
        </w:tc>
        <w:tc>
          <w:tcPr>
            <w:tcW w:type="dxa" w:w="3408"/>
            <w:vAlign w:val="center"/>
          </w:tcPr>
          <w:p>
            <w:r/>
            <w:r>
              <w:rPr>
                <w:b w:val="0"/>
                <w:sz w:val="17"/>
              </w:rPr>
              <w:t>SOS</w:t>
            </w:r>
          </w:p>
        </w:tc>
        <w:tc>
          <w:tcPr>
            <w:tcW w:type="dxa" w:w="3408"/>
            <w:vAlign w:val="center"/>
          </w:tcPr>
          <w:p>
            <w:r/>
            <w:r>
              <w:rPr>
                <w:b w:val="0"/>
                <w:sz w:val="17"/>
              </w:rPr>
              <w:t>Persistent, press-and-hold or 3-second action depending implementation; available regardless of known hazard classification.</w:t>
            </w:r>
          </w:p>
        </w:tc>
      </w:tr>
      <w:tr>
        <w:tc>
          <w:tcPr>
            <w:tcW w:type="dxa" w:w="3408"/>
            <w:vAlign w:val="center"/>
          </w:tcPr>
          <w:p>
            <w:r/>
            <w:r>
              <w:rPr>
                <w:b w:val="0"/>
                <w:sz w:val="17"/>
              </w:rPr>
              <w:t>7</w:t>
            </w:r>
          </w:p>
        </w:tc>
        <w:tc>
          <w:tcPr>
            <w:tcW w:type="dxa" w:w="3408"/>
            <w:vAlign w:val="center"/>
          </w:tcPr>
          <w:p>
            <w:r/>
            <w:r>
              <w:rPr>
                <w:b w:val="0"/>
                <w:sz w:val="17"/>
              </w:rPr>
              <w:t>Details</w:t>
            </w:r>
          </w:p>
        </w:tc>
        <w:tc>
          <w:tcPr>
            <w:tcW w:type="dxa" w:w="3408"/>
            <w:vAlign w:val="center"/>
          </w:tcPr>
          <w:p>
            <w:r/>
            <w:r>
              <w:rPr>
                <w:b w:val="0"/>
                <w:sz w:val="17"/>
              </w:rPr>
              <w:t>Expandable hazard explanation, affected areas, instructions, communication status.</w:t>
            </w:r>
          </w:p>
        </w:tc>
      </w:tr>
    </w:tbl>
    <w:p>
      <w:pPr>
        <w:pStyle w:val="Heading2"/>
        <w:spacing w:after="80" w:line="252" w:lineRule="auto"/>
      </w:pPr>
      <w:r>
        <w:t>7.2 Safe-location presentation</w:t>
      </w:r>
    </w:p>
    <w:p>
      <w:pPr>
        <w:pStyle w:val="ListBullet"/>
        <w:spacing w:after="80" w:line="252" w:lineRule="auto"/>
      </w:pPr>
      <w:r>
        <w:t>Show recommended destination and why it is recommended: estimated travel time, route hazard exposure, capacity/accessibility constraints when known.</w:t>
      </w:r>
    </w:p>
    <w:p>
      <w:pPr>
        <w:pStyle w:val="ListBullet"/>
        <w:spacing w:after="80" w:line="252" w:lineRule="auto"/>
      </w:pPr>
      <w:r>
        <w:t>Nearest is not automatically safest. The UI should not label a location “safe” if the route or destination conflicts with active hazards.</w:t>
      </w:r>
    </w:p>
    <w:p>
      <w:pPr>
        <w:pStyle w:val="ListBullet"/>
        <w:spacing w:after="80" w:line="252" w:lineRule="auto"/>
      </w:pPr>
      <w:r>
        <w:t>When no viable route/destination is available, present SHELTER IN PLACE prominently.</w:t>
      </w:r>
    </w:p>
    <w:p>
      <w:pPr>
        <w:pStyle w:val="ListBullet"/>
        <w:spacing w:after="80" w:line="252" w:lineRule="auto"/>
      </w:pPr>
      <w:r>
        <w:t>Never fabricate route, capacity, or shelter status when information is stale or unavailable.</w:t>
      </w:r>
    </w:p>
    <w:p>
      <w:pPr>
        <w:pStyle w:val="Heading2"/>
        <w:spacing w:after="80" w:line="252" w:lineRule="auto"/>
      </w:pPr>
      <w:r>
        <w:t>7.3 Citizen communication</w:t>
      </w:r>
    </w:p>
    <w:p>
      <w:pPr>
        <w:spacing w:after="80" w:line="252" w:lineRule="auto"/>
      </w:pPr>
      <w:r>
        <w:t>Online notifications deep-link to the one-page emergency UI. Offline users who join the NexAlert Wi-Fi network receive the same emergency information from the local path. The page must state whether content is live, cached, or stale.</w:t>
      </w:r>
    </w:p>
    <w:p>
      <w:pPr>
        <w:pStyle w:val="Heading1"/>
        <w:spacing w:after="80" w:line="252" w:lineRule="auto"/>
      </w:pPr>
      <w:r>
        <w:t>8. Offline and Degraded UI States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AF0"/>
          </w:tcPr>
          <w:p>
            <w:r/>
            <w:r>
              <w:rPr>
                <w:b/>
                <w:sz w:val="18"/>
              </w:rPr>
              <w:t>System condition</w:t>
            </w:r>
          </w:p>
        </w:tc>
        <w:tc>
          <w:tcPr>
            <w:tcW w:type="dxa" w:w="5112"/>
            <w:vAlign w:val="center"/>
            <w:shd w:fill="D9EAF0"/>
          </w:tcPr>
          <w:p>
            <w:r/>
            <w:r>
              <w:rPr>
                <w:b/>
                <w:sz w:val="18"/>
              </w:rPr>
              <w:t>UI behavior</w:t>
            </w:r>
          </w:p>
        </w:tc>
      </w:tr>
      <w:tr>
        <w:tc>
          <w:tcPr>
            <w:tcW w:type="dxa" w:w="5112"/>
            <w:vAlign w:val="center"/>
          </w:tcPr>
          <w:p>
            <w:r/>
            <w:r>
              <w:rPr>
                <w:b w:val="0"/>
                <w:sz w:val="17"/>
              </w:rPr>
              <w:t>LIVE + GOOD</w:t>
            </w:r>
          </w:p>
        </w:tc>
        <w:tc>
          <w:tcPr>
            <w:tcW w:type="dxa" w:w="5112"/>
            <w:vAlign w:val="center"/>
          </w:tcPr>
          <w:p>
            <w:r/>
            <w:r>
              <w:rPr>
                <w:b w:val="0"/>
                <w:sz w:val="17"/>
              </w:rPr>
              <w:t>Normal map/telemetry freshness; actions enabled according to permissions.</w:t>
            </w:r>
          </w:p>
        </w:tc>
      </w:tr>
      <w:tr>
        <w:tc>
          <w:tcPr>
            <w:tcW w:type="dxa" w:w="5112"/>
            <w:vAlign w:val="center"/>
          </w:tcPr>
          <w:p>
            <w:r/>
            <w:r>
              <w:rPr>
                <w:b w:val="0"/>
                <w:sz w:val="17"/>
              </w:rPr>
              <w:t>LIVE + DEGRADED</w:t>
            </w:r>
          </w:p>
        </w:tc>
        <w:tc>
          <w:tcPr>
            <w:tcW w:type="dxa" w:w="5112"/>
            <w:vAlign w:val="center"/>
          </w:tcPr>
          <w:p>
            <w:r/>
            <w:r>
              <w:rPr>
                <w:b w:val="0"/>
                <w:sz w:val="17"/>
              </w:rPr>
              <w:t>Persistent DEGRADED badge; show stale sources and which capabilities are affected; do not silently hide missing telemetry.</w:t>
            </w:r>
          </w:p>
        </w:tc>
      </w:tr>
      <w:tr>
        <w:tc>
          <w:tcPr>
            <w:tcW w:type="dxa" w:w="5112"/>
            <w:vAlign w:val="center"/>
          </w:tcPr>
          <w:p>
            <w:r/>
            <w:r>
              <w:rPr>
                <w:b w:val="0"/>
                <w:sz w:val="17"/>
              </w:rPr>
              <w:t>UNKNOWN information condition</w:t>
            </w:r>
          </w:p>
        </w:tc>
        <w:tc>
          <w:tcPr>
            <w:tcW w:type="dxa" w:w="5112"/>
            <w:vAlign w:val="center"/>
          </w:tcPr>
          <w:p>
            <w:r/>
            <w:r>
              <w:rPr>
                <w:b w:val="0"/>
                <w:sz w:val="17"/>
              </w:rPr>
              <w:t>Use UNKNOWN explicitly where assessment evidence is insufficient; do not convert to safe/normal.</w:t>
            </w:r>
          </w:p>
        </w:tc>
      </w:tr>
      <w:tr>
        <w:tc>
          <w:tcPr>
            <w:tcW w:type="dxa" w:w="5112"/>
            <w:vAlign w:val="center"/>
          </w:tcPr>
          <w:p>
            <w:r/>
            <w:r>
              <w:rPr>
                <w:b w:val="0"/>
                <w:sz w:val="17"/>
              </w:rPr>
              <w:t>Internet unavailable, Master online locally</w:t>
            </w:r>
          </w:p>
        </w:tc>
        <w:tc>
          <w:tcPr>
            <w:tcW w:type="dxa" w:w="5112"/>
            <w:vAlign w:val="center"/>
          </w:tcPr>
          <w:p>
            <w:r/>
            <w:r>
              <w:rPr>
                <w:b w:val="0"/>
                <w:sz w:val="17"/>
              </w:rPr>
              <w:t>Authority/citizen local functions remain available according to architecture; show OFFLINE / LOCAL MODE.</w:t>
            </w:r>
          </w:p>
        </w:tc>
      </w:tr>
      <w:tr>
        <w:tc>
          <w:tcPr>
            <w:tcW w:type="dxa" w:w="5112"/>
            <w:vAlign w:val="center"/>
          </w:tcPr>
          <w:p>
            <w:r/>
            <w:r>
              <w:rPr>
                <w:b w:val="0"/>
                <w:sz w:val="17"/>
              </w:rPr>
              <w:t>Master unavailable, field node local gateway available</w:t>
            </w:r>
          </w:p>
        </w:tc>
        <w:tc>
          <w:tcPr>
            <w:tcW w:type="dxa" w:w="5112"/>
            <w:vAlign w:val="center"/>
          </w:tcPr>
          <w:p>
            <w:r/>
            <w:r>
              <w:rPr>
                <w:b w:val="0"/>
                <w:sz w:val="17"/>
              </w:rPr>
              <w:t>Citizen emergency page remains available; show LOCAL NODE / LIMITED CONTEXT and timestamp.</w:t>
            </w:r>
          </w:p>
        </w:tc>
      </w:tr>
      <w:tr>
        <w:tc>
          <w:tcPr>
            <w:tcW w:type="dxa" w:w="5112"/>
            <w:vAlign w:val="center"/>
          </w:tcPr>
          <w:p>
            <w:r/>
            <w:r>
              <w:rPr>
                <w:b w:val="0"/>
                <w:sz w:val="17"/>
              </w:rPr>
              <w:t>No current connection</w:t>
            </w:r>
          </w:p>
        </w:tc>
        <w:tc>
          <w:tcPr>
            <w:tcW w:type="dxa" w:w="5112"/>
            <w:vAlign w:val="center"/>
          </w:tcPr>
          <w:p>
            <w:r/>
            <w:r>
              <w:rPr>
                <w:b w:val="0"/>
                <w:sz w:val="17"/>
              </w:rPr>
              <w:t>Show cached data age; disable actions requiring unavailable backend capabilities; keep SOS/local safety action available.</w:t>
            </w:r>
          </w:p>
        </w:tc>
      </w:tr>
      <w:tr>
        <w:tc>
          <w:tcPr>
            <w:tcW w:type="dxa" w:w="5112"/>
            <w:vAlign w:val="center"/>
          </w:tcPr>
          <w:p>
            <w:r/>
            <w:r>
              <w:rPr>
                <w:b w:val="0"/>
                <w:sz w:val="17"/>
              </w:rPr>
              <w:t>Recovery</w:t>
            </w:r>
          </w:p>
        </w:tc>
        <w:tc>
          <w:tcPr>
            <w:tcW w:type="dxa" w:w="5112"/>
            <w:vAlign w:val="center"/>
          </w:tcPr>
          <w:p>
            <w:r/>
            <w:r>
              <w:rPr>
                <w:b w:val="0"/>
                <w:sz w:val="17"/>
              </w:rPr>
              <w:t>Show synchronization/reconnection banner and refreshed timestamp; do not jump the screen unexpectedly.</w:t>
            </w:r>
          </w:p>
        </w:tc>
      </w:tr>
    </w:tbl>
    <w:p>
      <w:pPr>
        <w:pStyle w:val="Heading1"/>
        <w:spacing w:after="80" w:line="252" w:lineRule="auto"/>
      </w:pPr>
      <w:r>
        <w:t>9. Accessibility and Field Usability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AF0"/>
          </w:tcPr>
          <w:p>
            <w:r/>
            <w:r>
              <w:rPr>
                <w:b/>
                <w:sz w:val="18"/>
              </w:rPr>
              <w:t>Requirement</w:t>
            </w:r>
          </w:p>
        </w:tc>
        <w:tc>
          <w:tcPr>
            <w:tcW w:type="dxa" w:w="5112"/>
            <w:vAlign w:val="center"/>
            <w:shd w:fill="D9EAF0"/>
          </w:tcPr>
          <w:p>
            <w:r/>
            <w:r>
              <w:rPr>
                <w:b/>
                <w:sz w:val="18"/>
              </w:rPr>
              <w:t>Specification</w:t>
            </w:r>
          </w:p>
        </w:tc>
      </w:tr>
      <w:tr>
        <w:tc>
          <w:tcPr>
            <w:tcW w:type="dxa" w:w="5112"/>
            <w:vAlign w:val="center"/>
          </w:tcPr>
          <w:p>
            <w:r/>
            <w:r>
              <w:rPr>
                <w:b w:val="0"/>
                <w:sz w:val="17"/>
              </w:rPr>
              <w:t>Color contrast</w:t>
            </w:r>
          </w:p>
        </w:tc>
        <w:tc>
          <w:tcPr>
            <w:tcW w:type="dxa" w:w="5112"/>
            <w:vAlign w:val="center"/>
          </w:tcPr>
          <w:p>
            <w:r/>
            <w:r>
              <w:rPr>
                <w:b w:val="0"/>
                <w:sz w:val="17"/>
              </w:rPr>
              <w:t>Meet accessible contrast targets for normal text, icons, and controls; never rely on red/green alone.</w:t>
            </w:r>
          </w:p>
        </w:tc>
      </w:tr>
      <w:tr>
        <w:tc>
          <w:tcPr>
            <w:tcW w:type="dxa" w:w="5112"/>
            <w:vAlign w:val="center"/>
          </w:tcPr>
          <w:p>
            <w:r/>
            <w:r>
              <w:rPr>
                <w:b w:val="0"/>
                <w:sz w:val="17"/>
              </w:rPr>
              <w:t>Keyboard</w:t>
            </w:r>
          </w:p>
        </w:tc>
        <w:tc>
          <w:tcPr>
            <w:tcW w:type="dxa" w:w="5112"/>
            <w:vAlign w:val="center"/>
          </w:tcPr>
          <w:p>
            <w:r/>
            <w:r>
              <w:rPr>
                <w:b w:val="0"/>
                <w:sz w:val="17"/>
              </w:rPr>
              <w:t>Every interactive element reachable in logical order; visible focus state; map actions have non-map alternatives.</w:t>
            </w:r>
          </w:p>
        </w:tc>
      </w:tr>
      <w:tr>
        <w:tc>
          <w:tcPr>
            <w:tcW w:type="dxa" w:w="5112"/>
            <w:vAlign w:val="center"/>
          </w:tcPr>
          <w:p>
            <w:r/>
            <w:r>
              <w:rPr>
                <w:b w:val="0"/>
                <w:sz w:val="17"/>
              </w:rPr>
              <w:t>Screen reader</w:t>
            </w:r>
          </w:p>
        </w:tc>
        <w:tc>
          <w:tcPr>
            <w:tcW w:type="dxa" w:w="5112"/>
            <w:vAlign w:val="center"/>
          </w:tcPr>
          <w:p>
            <w:r/>
            <w:r>
              <w:rPr>
                <w:b w:val="0"/>
                <w:sz w:val="17"/>
              </w:rPr>
              <w:t>State, severity, freshness, and action order must be understandable without visual map interpretation.</w:t>
            </w:r>
          </w:p>
        </w:tc>
      </w:tr>
      <w:tr>
        <w:tc>
          <w:tcPr>
            <w:tcW w:type="dxa" w:w="5112"/>
            <w:vAlign w:val="center"/>
          </w:tcPr>
          <w:p>
            <w:r/>
            <w:r>
              <w:rPr>
                <w:b w:val="0"/>
                <w:sz w:val="17"/>
              </w:rPr>
              <w:t>Motion</w:t>
            </w:r>
          </w:p>
        </w:tc>
        <w:tc>
          <w:tcPr>
            <w:tcW w:type="dxa" w:w="5112"/>
            <w:vAlign w:val="center"/>
          </w:tcPr>
          <w:p>
            <w:r/>
            <w:r>
              <w:rPr>
                <w:b w:val="0"/>
                <w:sz w:val="17"/>
              </w:rPr>
              <w:t>Respect reduced-motion preference. No flashing or rapid transitions for emergency cues.</w:t>
            </w:r>
          </w:p>
        </w:tc>
      </w:tr>
      <w:tr>
        <w:tc>
          <w:tcPr>
            <w:tcW w:type="dxa" w:w="5112"/>
            <w:vAlign w:val="center"/>
          </w:tcPr>
          <w:p>
            <w:r/>
            <w:r>
              <w:rPr>
                <w:b w:val="0"/>
                <w:sz w:val="17"/>
              </w:rPr>
              <w:t>Touch</w:t>
            </w:r>
          </w:p>
        </w:tc>
        <w:tc>
          <w:tcPr>
            <w:tcW w:type="dxa" w:w="5112"/>
            <w:vAlign w:val="center"/>
          </w:tcPr>
          <w:p>
            <w:r/>
            <w:r>
              <w:rPr>
                <w:b w:val="0"/>
                <w:sz w:val="17"/>
              </w:rPr>
              <w:t>44×44 px minimum for citizen actions and compact authority controls where practical.</w:t>
            </w:r>
          </w:p>
        </w:tc>
      </w:tr>
      <w:tr>
        <w:tc>
          <w:tcPr>
            <w:tcW w:type="dxa" w:w="5112"/>
            <w:vAlign w:val="center"/>
          </w:tcPr>
          <w:p>
            <w:r/>
            <w:r>
              <w:rPr>
                <w:b w:val="0"/>
                <w:sz w:val="17"/>
              </w:rPr>
              <w:t>Language</w:t>
            </w:r>
          </w:p>
        </w:tc>
        <w:tc>
          <w:tcPr>
            <w:tcW w:type="dxa" w:w="5112"/>
            <w:vAlign w:val="center"/>
          </w:tcPr>
          <w:p>
            <w:r/>
            <w:r>
              <w:rPr>
                <w:b w:val="0"/>
                <w:sz w:val="17"/>
              </w:rPr>
              <w:t>Text must be translatable; do not bake critical text into images or canvas layers.</w:t>
            </w:r>
          </w:p>
        </w:tc>
      </w:tr>
      <w:tr>
        <w:tc>
          <w:tcPr>
            <w:tcW w:type="dxa" w:w="5112"/>
            <w:vAlign w:val="center"/>
          </w:tcPr>
          <w:p>
            <w:r/>
            <w:r>
              <w:rPr>
                <w:b w:val="0"/>
                <w:sz w:val="17"/>
              </w:rPr>
              <w:t>Field conditions</w:t>
            </w:r>
          </w:p>
        </w:tc>
        <w:tc>
          <w:tcPr>
            <w:tcW w:type="dxa" w:w="5112"/>
            <w:vAlign w:val="center"/>
          </w:tcPr>
          <w:p>
            <w:r/>
            <w:r>
              <w:rPr>
                <w:b w:val="0"/>
                <w:sz w:val="17"/>
              </w:rPr>
              <w:t>Support low bandwidth, glare, low battery, intermittent connectivity, and noisy outdoor environments.</w:t>
            </w:r>
          </w:p>
        </w:tc>
      </w:tr>
      <w:tr>
        <w:tc>
          <w:tcPr>
            <w:tcW w:type="dxa" w:w="5112"/>
            <w:vAlign w:val="center"/>
          </w:tcPr>
          <w:p>
            <w:r/>
            <w:r>
              <w:rPr>
                <w:b w:val="0"/>
                <w:sz w:val="17"/>
              </w:rPr>
              <w:t>Map alternatives</w:t>
            </w:r>
          </w:p>
        </w:tc>
        <w:tc>
          <w:tcPr>
            <w:tcW w:type="dxa" w:w="5112"/>
            <w:vAlign w:val="center"/>
          </w:tcPr>
          <w:p>
            <w:r/>
            <w:r>
              <w:rPr>
                <w:b w:val="0"/>
                <w:sz w:val="17"/>
              </w:rPr>
              <w:t>Provide list/panel alternatives for nodes, incidents, safe places, and SOS results.</w:t>
            </w:r>
          </w:p>
        </w:tc>
      </w:tr>
    </w:tbl>
    <w:p>
      <w:pPr>
        <w:pStyle w:val="Heading2"/>
        <w:spacing w:after="80" w:line="252" w:lineRule="auto"/>
      </w:pPr>
      <w:r>
        <w:t>9.1 Emergency content writing</w:t>
      </w:r>
    </w:p>
    <w:p>
      <w:pPr>
        <w:pStyle w:val="ListBullet"/>
        <w:spacing w:after="80" w:line="252" w:lineRule="auto"/>
      </w:pPr>
      <w:r>
        <w:t>Lead with the action, not the algorithm.</w:t>
      </w:r>
    </w:p>
    <w:p>
      <w:pPr>
        <w:pStyle w:val="ListBullet"/>
        <w:spacing w:after="80" w:line="252" w:lineRule="auto"/>
      </w:pPr>
      <w:r>
        <w:t>Use “Updated 35 seconds ago” instead of technical timestamps in the citizen layer unless details are expanded.</w:t>
      </w:r>
    </w:p>
    <w:p>
      <w:pPr>
        <w:pStyle w:val="ListBullet"/>
        <w:spacing w:after="80" w:line="252" w:lineRule="auto"/>
      </w:pPr>
      <w:r>
        <w:t>Use “Information is limited” or “Some sensors are stale” rather than hiding uncertainty.</w:t>
      </w:r>
    </w:p>
    <w:p>
      <w:pPr>
        <w:pStyle w:val="ListBullet"/>
        <w:spacing w:after="80" w:line="252" w:lineRule="auto"/>
      </w:pPr>
      <w:r>
        <w:t>Avoid “100% safe”, “guaranteed”, or probability-like language for confidence/risk indices.</w:t>
      </w:r>
    </w:p>
    <w:p>
      <w:pPr>
        <w:pStyle w:val="Heading1"/>
        <w:spacing w:after="80" w:line="252" w:lineRule="auto"/>
      </w:pPr>
      <w:r>
        <w:t>10. Interaction States, Loading, Errors and Empty States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D9EAF0"/>
          </w:tcPr>
          <w:p>
            <w:r/>
            <w:r>
              <w:rPr>
                <w:b/>
                <w:sz w:val="18"/>
              </w:rPr>
              <w:t>State</w:t>
            </w:r>
          </w:p>
        </w:tc>
        <w:tc>
          <w:tcPr>
            <w:tcW w:type="dxa" w:w="3408"/>
            <w:vAlign w:val="center"/>
            <w:shd w:fill="D9EAF0"/>
          </w:tcPr>
          <w:p>
            <w:r/>
            <w:r>
              <w:rPr>
                <w:b/>
                <w:sz w:val="18"/>
              </w:rPr>
              <w:t>Visual pattern</w:t>
            </w:r>
          </w:p>
        </w:tc>
        <w:tc>
          <w:tcPr>
            <w:tcW w:type="dxa" w:w="3408"/>
            <w:vAlign w:val="center"/>
            <w:shd w:fill="D9EAF0"/>
          </w:tcPr>
          <w:p>
            <w:r/>
            <w:r>
              <w:rPr>
                <w:b/>
                <w:sz w:val="18"/>
              </w:rPr>
              <w:t>Copy rule</w:t>
            </w:r>
          </w:p>
        </w:tc>
      </w:tr>
      <w:tr>
        <w:tc>
          <w:tcPr>
            <w:tcW w:type="dxa" w:w="3408"/>
            <w:vAlign w:val="center"/>
          </w:tcPr>
          <w:p>
            <w:r/>
            <w:r>
              <w:rPr>
                <w:b w:val="0"/>
                <w:sz w:val="17"/>
              </w:rPr>
              <w:t>Loading</w:t>
            </w:r>
          </w:p>
        </w:tc>
        <w:tc>
          <w:tcPr>
            <w:tcW w:type="dxa" w:w="3408"/>
            <w:vAlign w:val="center"/>
          </w:tcPr>
          <w:p>
            <w:r/>
            <w:r>
              <w:rPr>
                <w:b w:val="0"/>
                <w:sz w:val="17"/>
              </w:rPr>
              <w:t>Skeleton/placeholder with stable layout; never full-screen spinner for every interaction.</w:t>
            </w:r>
          </w:p>
        </w:tc>
        <w:tc>
          <w:tcPr>
            <w:tcW w:type="dxa" w:w="3408"/>
            <w:vAlign w:val="center"/>
          </w:tcPr>
          <w:p>
            <w:r/>
            <w:r>
              <w:rPr>
                <w:b w:val="0"/>
                <w:sz w:val="17"/>
              </w:rPr>
              <w:t>Explain what is loading when meaningful.</w:t>
            </w:r>
          </w:p>
        </w:tc>
      </w:tr>
      <w:tr>
        <w:tc>
          <w:tcPr>
            <w:tcW w:type="dxa" w:w="3408"/>
            <w:vAlign w:val="center"/>
          </w:tcPr>
          <w:p>
            <w:r/>
            <w:r>
              <w:rPr>
                <w:b w:val="0"/>
                <w:sz w:val="17"/>
              </w:rPr>
              <w:t>No data</w:t>
            </w:r>
          </w:p>
        </w:tc>
        <w:tc>
          <w:tcPr>
            <w:tcW w:type="dxa" w:w="3408"/>
            <w:vAlign w:val="center"/>
          </w:tcPr>
          <w:p>
            <w:r/>
            <w:r>
              <w:rPr>
                <w:b w:val="0"/>
                <w:sz w:val="17"/>
              </w:rPr>
              <w:t>Empty state with reason and next step.</w:t>
            </w:r>
          </w:p>
        </w:tc>
        <w:tc>
          <w:tcPr>
            <w:tcW w:type="dxa" w:w="3408"/>
            <w:vAlign w:val="center"/>
          </w:tcPr>
          <w:p>
            <w:r/>
            <w:r>
              <w:rPr>
                <w:b w:val="0"/>
                <w:sz w:val="17"/>
              </w:rPr>
              <w:t>Differentiate “no incidents” from “data unavailable”.</w:t>
            </w:r>
          </w:p>
        </w:tc>
      </w:tr>
      <w:tr>
        <w:tc>
          <w:tcPr>
            <w:tcW w:type="dxa" w:w="3408"/>
            <w:vAlign w:val="center"/>
          </w:tcPr>
          <w:p>
            <w:r/>
            <w:r>
              <w:rPr>
                <w:b w:val="0"/>
                <w:sz w:val="17"/>
              </w:rPr>
              <w:t>Stale data</w:t>
            </w:r>
          </w:p>
        </w:tc>
        <w:tc>
          <w:tcPr>
            <w:tcW w:type="dxa" w:w="3408"/>
            <w:vAlign w:val="center"/>
          </w:tcPr>
          <w:p>
            <w:r/>
            <w:r>
              <w:rPr>
                <w:b w:val="0"/>
                <w:sz w:val="17"/>
              </w:rPr>
              <w:t>Timestamp + stale badge; affected metric remains visible with caveat.</w:t>
            </w:r>
          </w:p>
        </w:tc>
        <w:tc>
          <w:tcPr>
            <w:tcW w:type="dxa" w:w="3408"/>
            <w:vAlign w:val="center"/>
          </w:tcPr>
          <w:p>
            <w:r/>
            <w:r>
              <w:rPr>
                <w:b w:val="0"/>
                <w:sz w:val="17"/>
              </w:rPr>
              <w:t>Say what is stale and by how much.</w:t>
            </w:r>
          </w:p>
        </w:tc>
      </w:tr>
      <w:tr>
        <w:tc>
          <w:tcPr>
            <w:tcW w:type="dxa" w:w="3408"/>
            <w:vAlign w:val="center"/>
          </w:tcPr>
          <w:p>
            <w:r/>
            <w:r>
              <w:rPr>
                <w:b w:val="0"/>
                <w:sz w:val="17"/>
              </w:rPr>
              <w:t>Permission denied</w:t>
            </w:r>
          </w:p>
        </w:tc>
        <w:tc>
          <w:tcPr>
            <w:tcW w:type="dxa" w:w="3408"/>
            <w:vAlign w:val="center"/>
          </w:tcPr>
          <w:p>
            <w:r/>
            <w:r>
              <w:rPr>
                <w:b w:val="0"/>
                <w:sz w:val="17"/>
              </w:rPr>
              <w:t>Inline explanation + request/access path.</w:t>
            </w:r>
          </w:p>
        </w:tc>
        <w:tc>
          <w:tcPr>
            <w:tcW w:type="dxa" w:w="3408"/>
            <w:vAlign w:val="center"/>
          </w:tcPr>
          <w:p>
            <w:r/>
            <w:r>
              <w:rPr>
                <w:b w:val="0"/>
                <w:sz w:val="17"/>
              </w:rPr>
              <w:t>Do not imply system failure.</w:t>
            </w:r>
          </w:p>
        </w:tc>
      </w:tr>
      <w:tr>
        <w:tc>
          <w:tcPr>
            <w:tcW w:type="dxa" w:w="3408"/>
            <w:vAlign w:val="center"/>
          </w:tcPr>
          <w:p>
            <w:r/>
            <w:r>
              <w:rPr>
                <w:b w:val="0"/>
                <w:sz w:val="17"/>
              </w:rPr>
              <w:t>Action failure</w:t>
            </w:r>
          </w:p>
        </w:tc>
        <w:tc>
          <w:tcPr>
            <w:tcW w:type="dxa" w:w="3408"/>
            <w:vAlign w:val="center"/>
          </w:tcPr>
          <w:p>
            <w:r/>
            <w:r>
              <w:rPr>
                <w:b w:val="0"/>
                <w:sz w:val="17"/>
              </w:rPr>
              <w:t>Persistent enough error + retry + scope of failure.</w:t>
            </w:r>
          </w:p>
        </w:tc>
        <w:tc>
          <w:tcPr>
            <w:tcW w:type="dxa" w:w="3408"/>
            <w:vAlign w:val="center"/>
          </w:tcPr>
          <w:p>
            <w:r/>
            <w:r>
              <w:rPr>
                <w:b w:val="0"/>
                <w:sz w:val="17"/>
              </w:rPr>
              <w:t>Never report success unless backend confirms.</w:t>
            </w:r>
          </w:p>
        </w:tc>
      </w:tr>
      <w:tr>
        <w:tc>
          <w:tcPr>
            <w:tcW w:type="dxa" w:w="3408"/>
            <w:vAlign w:val="center"/>
          </w:tcPr>
          <w:p>
            <w:r/>
            <w:r>
              <w:rPr>
                <w:b w:val="0"/>
                <w:sz w:val="17"/>
              </w:rPr>
              <w:t>Conflict</w:t>
            </w:r>
          </w:p>
        </w:tc>
        <w:tc>
          <w:tcPr>
            <w:tcW w:type="dxa" w:w="3408"/>
            <w:vAlign w:val="center"/>
          </w:tcPr>
          <w:p>
            <w:r/>
            <w:r>
              <w:rPr>
                <w:b w:val="0"/>
                <w:sz w:val="17"/>
              </w:rPr>
              <w:t>Explicit data disagreement state.</w:t>
            </w:r>
          </w:p>
        </w:tc>
        <w:tc>
          <w:tcPr>
            <w:tcW w:type="dxa" w:w="3408"/>
            <w:vAlign w:val="center"/>
          </w:tcPr>
          <w:p>
            <w:r/>
            <w:r>
              <w:rPr>
                <w:b w:val="0"/>
                <w:sz w:val="17"/>
              </w:rPr>
              <w:t>Explain which sources disagree or are missing.</w:t>
            </w:r>
          </w:p>
        </w:tc>
      </w:tr>
      <w:tr>
        <w:tc>
          <w:tcPr>
            <w:tcW w:type="dxa" w:w="3408"/>
            <w:vAlign w:val="center"/>
          </w:tcPr>
          <w:p>
            <w:r/>
            <w:r>
              <w:rPr>
                <w:b w:val="0"/>
                <w:sz w:val="17"/>
              </w:rPr>
              <w:t>Critical</w:t>
            </w:r>
          </w:p>
        </w:tc>
        <w:tc>
          <w:tcPr>
            <w:tcW w:type="dxa" w:w="3408"/>
            <w:vAlign w:val="center"/>
          </w:tcPr>
          <w:p>
            <w:r/>
            <w:r>
              <w:rPr>
                <w:b w:val="0"/>
                <w:sz w:val="17"/>
              </w:rPr>
              <w:t>Persistent high-visibility panel/banner.</w:t>
            </w:r>
          </w:p>
        </w:tc>
        <w:tc>
          <w:tcPr>
            <w:tcW w:type="dxa" w:w="3408"/>
            <w:vAlign w:val="center"/>
          </w:tcPr>
          <w:p>
            <w:r/>
            <w:r>
              <w:rPr>
                <w:b w:val="0"/>
                <w:sz w:val="17"/>
              </w:rPr>
              <w:t>Keep action visible until acknowledged or resolved by policy.</w:t>
            </w:r>
          </w:p>
        </w:tc>
      </w:tr>
    </w:tbl>
    <w:p>
      <w:pPr>
        <w:pStyle w:val="Heading1"/>
        <w:spacing w:after="80" w:line="252" w:lineRule="auto"/>
      </w:pPr>
      <w:r>
        <w:t>11. Data Visualization Rules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D9EAF0"/>
          </w:tcPr>
          <w:p>
            <w:r/>
            <w:r>
              <w:rPr>
                <w:b/>
                <w:sz w:val="18"/>
              </w:rPr>
              <w:t>Chart</w:t>
            </w:r>
          </w:p>
        </w:tc>
        <w:tc>
          <w:tcPr>
            <w:tcW w:type="dxa" w:w="3408"/>
            <w:vAlign w:val="center"/>
            <w:shd w:fill="D9EAF0"/>
          </w:tcPr>
          <w:p>
            <w:r/>
            <w:r>
              <w:rPr>
                <w:b/>
                <w:sz w:val="18"/>
              </w:rPr>
              <w:t>Use</w:t>
            </w:r>
          </w:p>
        </w:tc>
        <w:tc>
          <w:tcPr>
            <w:tcW w:type="dxa" w:w="3408"/>
            <w:vAlign w:val="center"/>
            <w:shd w:fill="D9EAF0"/>
          </w:tcPr>
          <w:p>
            <w:r/>
            <w:r>
              <w:rPr>
                <w:b/>
                <w:sz w:val="18"/>
              </w:rPr>
              <w:t>Rule</w:t>
            </w:r>
          </w:p>
        </w:tc>
      </w:tr>
      <w:tr>
        <w:tc>
          <w:tcPr>
            <w:tcW w:type="dxa" w:w="3408"/>
            <w:vAlign w:val="center"/>
          </w:tcPr>
          <w:p>
            <w:r/>
            <w:r>
              <w:rPr>
                <w:b w:val="0"/>
                <w:sz w:val="17"/>
              </w:rPr>
              <w:t>Time series</w:t>
            </w:r>
          </w:p>
        </w:tc>
        <w:tc>
          <w:tcPr>
            <w:tcW w:type="dxa" w:w="3408"/>
            <w:vAlign w:val="center"/>
          </w:tcPr>
          <w:p>
            <w:r/>
            <w:r>
              <w:rPr>
                <w:b w:val="0"/>
                <w:sz w:val="17"/>
              </w:rPr>
              <w:t>Sensor trend, environmental context, baseline comparison.</w:t>
            </w:r>
          </w:p>
        </w:tc>
        <w:tc>
          <w:tcPr>
            <w:tcW w:type="dxa" w:w="3408"/>
            <w:vAlign w:val="center"/>
          </w:tcPr>
          <w:p>
            <w:r/>
            <w:r>
              <w:rPr>
                <w:b w:val="0"/>
                <w:sz w:val="17"/>
              </w:rPr>
              <w:t>Show units, sampling/freshness, gaps, and source.</w:t>
            </w:r>
          </w:p>
        </w:tc>
      </w:tr>
      <w:tr>
        <w:tc>
          <w:tcPr>
            <w:tcW w:type="dxa" w:w="3408"/>
            <w:vAlign w:val="center"/>
          </w:tcPr>
          <w:p>
            <w:r/>
            <w:r>
              <w:rPr>
                <w:b w:val="0"/>
                <w:sz w:val="17"/>
              </w:rPr>
              <w:t>Anomaly timeline</w:t>
            </w:r>
          </w:p>
        </w:tc>
        <w:tc>
          <w:tcPr>
            <w:tcW w:type="dxa" w:w="3408"/>
            <w:vAlign w:val="center"/>
          </w:tcPr>
          <w:p>
            <w:r/>
            <w:r>
              <w:rPr>
                <w:b w:val="0"/>
                <w:sz w:val="17"/>
              </w:rPr>
              <w:t>A_i / anomaly events.</w:t>
            </w:r>
          </w:p>
        </w:tc>
        <w:tc>
          <w:tcPr>
            <w:tcW w:type="dxa" w:w="3408"/>
            <w:vAlign w:val="center"/>
          </w:tcPr>
          <w:p>
            <w:r/>
            <w:r>
              <w:rPr>
                <w:b w:val="0"/>
                <w:sz w:val="17"/>
              </w:rPr>
              <w:t>Pair score with underlying signal; do not imply probability.</w:t>
            </w:r>
          </w:p>
        </w:tc>
      </w:tr>
      <w:tr>
        <w:tc>
          <w:tcPr>
            <w:tcW w:type="dxa" w:w="3408"/>
            <w:vAlign w:val="center"/>
          </w:tcPr>
          <w:p>
            <w:r/>
            <w:r>
              <w:rPr>
                <w:b w:val="0"/>
                <w:sz w:val="17"/>
              </w:rPr>
              <w:t>Confidence bar/ring</w:t>
            </w:r>
          </w:p>
        </w:tc>
        <w:tc>
          <w:tcPr>
            <w:tcW w:type="dxa" w:w="3408"/>
            <w:vAlign w:val="center"/>
          </w:tcPr>
          <w:p>
            <w:r/>
            <w:r>
              <w:rPr>
                <w:b w:val="0"/>
                <w:sz w:val="17"/>
              </w:rPr>
              <w:t>C_h evidence confidence.</w:t>
            </w:r>
          </w:p>
        </w:tc>
        <w:tc>
          <w:tcPr>
            <w:tcW w:type="dxa" w:w="3408"/>
            <w:vAlign w:val="center"/>
          </w:tcPr>
          <w:p>
            <w:r/>
            <w:r>
              <w:rPr>
                <w:b w:val="0"/>
                <w:sz w:val="17"/>
              </w:rPr>
              <w:t>Label “confidence” and note it is not probability.</w:t>
            </w:r>
          </w:p>
        </w:tc>
      </w:tr>
      <w:tr>
        <w:tc>
          <w:tcPr>
            <w:tcW w:type="dxa" w:w="3408"/>
            <w:vAlign w:val="center"/>
          </w:tcPr>
          <w:p>
            <w:r/>
            <w:r>
              <w:rPr>
                <w:b w:val="0"/>
                <w:sz w:val="17"/>
              </w:rPr>
              <w:t>Severity scale</w:t>
            </w:r>
          </w:p>
        </w:tc>
        <w:tc>
          <w:tcPr>
            <w:tcW w:type="dxa" w:w="3408"/>
            <w:vAlign w:val="center"/>
          </w:tcPr>
          <w:p>
            <w:r/>
            <w:r>
              <w:rPr>
                <w:b w:val="0"/>
                <w:sz w:val="17"/>
              </w:rPr>
              <w:t>S_h operational severity.</w:t>
            </w:r>
          </w:p>
        </w:tc>
        <w:tc>
          <w:tcPr>
            <w:tcW w:type="dxa" w:w="3408"/>
            <w:vAlign w:val="center"/>
          </w:tcPr>
          <w:p>
            <w:r/>
            <w:r>
              <w:rPr>
                <w:b w:val="0"/>
                <w:sz w:val="17"/>
              </w:rPr>
              <w:t>Use configured ordinal semantics; not a probability gauge.</w:t>
            </w:r>
          </w:p>
        </w:tc>
      </w:tr>
      <w:tr>
        <w:tc>
          <w:tcPr>
            <w:tcW w:type="dxa" w:w="3408"/>
            <w:vAlign w:val="center"/>
          </w:tcPr>
          <w:p>
            <w:r/>
            <w:r>
              <w:rPr>
                <w:b w:val="0"/>
                <w:sz w:val="17"/>
              </w:rPr>
              <w:t>Risk surface</w:t>
            </w:r>
          </w:p>
        </w:tc>
        <w:tc>
          <w:tcPr>
            <w:tcW w:type="dxa" w:w="3408"/>
            <w:vAlign w:val="center"/>
          </w:tcPr>
          <w:p>
            <w:r/>
            <w:r>
              <w:rPr>
                <w:b w:val="0"/>
                <w:sz w:val="17"/>
              </w:rPr>
              <w:t>R_h operational risk index.</w:t>
            </w:r>
          </w:p>
        </w:tc>
        <w:tc>
          <w:tcPr>
            <w:tcW w:type="dxa" w:w="3408"/>
            <w:vAlign w:val="center"/>
          </w:tcPr>
          <w:p>
            <w:r/>
            <w:r>
              <w:rPr>
                <w:b w:val="0"/>
                <w:sz w:val="17"/>
              </w:rPr>
              <w:t>Legend must state operational index, not probability.</w:t>
            </w:r>
          </w:p>
        </w:tc>
      </w:tr>
      <w:tr>
        <w:tc>
          <w:tcPr>
            <w:tcW w:type="dxa" w:w="3408"/>
            <w:vAlign w:val="center"/>
          </w:tcPr>
          <w:p>
            <w:r/>
            <w:r>
              <w:rPr>
                <w:b w:val="0"/>
                <w:sz w:val="17"/>
              </w:rPr>
              <w:t>Heatmap</w:t>
            </w:r>
          </w:p>
        </w:tc>
        <w:tc>
          <w:tcPr>
            <w:tcW w:type="dxa" w:w="3408"/>
            <w:vAlign w:val="center"/>
          </w:tcPr>
          <w:p>
            <w:r/>
            <w:r>
              <w:rPr>
                <w:b w:val="0"/>
                <w:sz w:val="17"/>
              </w:rPr>
              <w:t>Spatial concentration or hazard risk surface.</w:t>
            </w:r>
          </w:p>
        </w:tc>
        <w:tc>
          <w:tcPr>
            <w:tcW w:type="dxa" w:w="3408"/>
            <w:vAlign w:val="center"/>
          </w:tcPr>
          <w:p>
            <w:r/>
            <w:r>
              <w:rPr>
                <w:b w:val="0"/>
                <w:sz w:val="17"/>
              </w:rPr>
              <w:t>Avoid red-only gradients; provide legend and numerical ranges when useful.</w:t>
            </w:r>
          </w:p>
        </w:tc>
      </w:tr>
      <w:tr>
        <w:tc>
          <w:tcPr>
            <w:tcW w:type="dxa" w:w="3408"/>
            <w:vAlign w:val="center"/>
          </w:tcPr>
          <w:p>
            <w:r/>
            <w:r>
              <w:rPr>
                <w:b w:val="0"/>
                <w:sz w:val="17"/>
              </w:rPr>
              <w:t>Network topology</w:t>
            </w:r>
          </w:p>
        </w:tc>
        <w:tc>
          <w:tcPr>
            <w:tcW w:type="dxa" w:w="3408"/>
            <w:vAlign w:val="center"/>
          </w:tcPr>
          <w:p>
            <w:r/>
            <w:r>
              <w:rPr>
                <w:b w:val="0"/>
                <w:sz w:val="17"/>
              </w:rPr>
              <w:t>Node links and partitions.</w:t>
            </w:r>
          </w:p>
        </w:tc>
        <w:tc>
          <w:tcPr>
            <w:tcW w:type="dxa" w:w="3408"/>
            <w:vAlign w:val="center"/>
          </w:tcPr>
          <w:p>
            <w:r/>
            <w:r>
              <w:rPr>
                <w:b w:val="0"/>
                <w:sz w:val="17"/>
              </w:rPr>
              <w:t>Use line style/state to distinguish logical links, offline, stale, and healthy.</w:t>
            </w:r>
          </w:p>
        </w:tc>
      </w:tr>
    </w:tbl>
    <w:p>
      <w:pPr>
        <w:pStyle w:val="Heading2"/>
        <w:spacing w:after="80" w:line="252" w:lineRule="auto"/>
      </w:pPr>
      <w:r>
        <w:t>11.1 Numerical formatting</w:t>
      </w:r>
    </w:p>
    <w:p>
      <w:pPr>
        <w:pStyle w:val="ListBullet"/>
        <w:spacing w:after="80" w:line="252" w:lineRule="auto"/>
      </w:pPr>
      <w:r>
        <w:t>Always show units beside physical measurements.</w:t>
      </w:r>
    </w:p>
    <w:p>
      <w:pPr>
        <w:pStyle w:val="ListBullet"/>
        <w:spacing w:after="80" w:line="252" w:lineRule="auto"/>
      </w:pPr>
      <w:r>
        <w:t>Use sensible precision: distance in metres/km as context dictates; environmental values use calibrated sensor precision.</w:t>
      </w:r>
    </w:p>
    <w:p>
      <w:pPr>
        <w:pStyle w:val="ListBullet"/>
        <w:spacing w:after="80" w:line="252" w:lineRule="auto"/>
      </w:pPr>
      <w:r>
        <w:t>Use explicit timestamp age and timezone when an exact timestamp is relevant.</w:t>
      </w:r>
    </w:p>
    <w:p>
      <w:pPr>
        <w:pStyle w:val="ListBullet"/>
        <w:spacing w:after="80" w:line="252" w:lineRule="auto"/>
      </w:pPr>
      <w:r>
        <w:t>Never display internal score precision beyond what supports a decision; avoid false precision such as 97.283% confidence.</w:t>
      </w:r>
    </w:p>
    <w:p>
      <w:pPr>
        <w:pStyle w:val="Heading1"/>
        <w:spacing w:after="80" w:line="252" w:lineRule="auto"/>
      </w:pPr>
      <w:r>
        <w:t>12. Frontend Implementation Contract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AF0"/>
          </w:tcPr>
          <w:p>
            <w:r/>
            <w:r>
              <w:rPr>
                <w:b/>
                <w:sz w:val="18"/>
              </w:rPr>
              <w:t>Area</w:t>
            </w:r>
          </w:p>
        </w:tc>
        <w:tc>
          <w:tcPr>
            <w:tcW w:type="dxa" w:w="5112"/>
            <w:vAlign w:val="center"/>
            <w:shd w:fill="D9EAF0"/>
          </w:tcPr>
          <w:p>
            <w:r/>
            <w:r>
              <w:rPr>
                <w:b/>
                <w:sz w:val="18"/>
              </w:rPr>
              <w:t>Implementation expectation</w:t>
            </w:r>
          </w:p>
        </w:tc>
      </w:tr>
      <w:tr>
        <w:tc>
          <w:tcPr>
            <w:tcW w:type="dxa" w:w="5112"/>
            <w:vAlign w:val="center"/>
          </w:tcPr>
          <w:p>
            <w:r/>
            <w:r>
              <w:rPr>
                <w:b w:val="0"/>
                <w:sz w:val="17"/>
              </w:rPr>
              <w:t>Design tokens</w:t>
            </w:r>
          </w:p>
        </w:tc>
        <w:tc>
          <w:tcPr>
            <w:tcW w:type="dxa" w:w="5112"/>
            <w:vAlign w:val="center"/>
          </w:tcPr>
          <w:p>
            <w:r/>
            <w:r>
              <w:rPr>
                <w:b w:val="0"/>
                <w:sz w:val="17"/>
              </w:rPr>
              <w:t>Central token file/theme object consumed by dashboard and citizen apps.</w:t>
            </w:r>
          </w:p>
        </w:tc>
      </w:tr>
      <w:tr>
        <w:tc>
          <w:tcPr>
            <w:tcW w:type="dxa" w:w="5112"/>
            <w:vAlign w:val="center"/>
          </w:tcPr>
          <w:p>
            <w:r/>
            <w:r>
              <w:rPr>
                <w:b w:val="0"/>
                <w:sz w:val="17"/>
              </w:rPr>
              <w:t>Component library</w:t>
            </w:r>
          </w:p>
        </w:tc>
        <w:tc>
          <w:tcPr>
            <w:tcW w:type="dxa" w:w="5112"/>
            <w:vAlign w:val="center"/>
          </w:tcPr>
          <w:p>
            <w:r/>
            <w:r>
              <w:rPr>
                <w:b w:val="0"/>
                <w:sz w:val="17"/>
              </w:rPr>
              <w:t>StateChip, SeverityBadge, InfoConditionBadge, Timestamp, EvidenceGroup, CommandCard, NodeCard, IncidentRow, AlertBanner, SOSButton, MapLegend, DataFreshnessIndicator.</w:t>
            </w:r>
          </w:p>
        </w:tc>
      </w:tr>
      <w:tr>
        <w:tc>
          <w:tcPr>
            <w:tcW w:type="dxa" w:w="5112"/>
            <w:vAlign w:val="center"/>
          </w:tcPr>
          <w:p>
            <w:r/>
            <w:r>
              <w:rPr>
                <w:b w:val="0"/>
                <w:sz w:val="17"/>
              </w:rPr>
              <w:t>Map framework</w:t>
            </w:r>
          </w:p>
        </w:tc>
        <w:tc>
          <w:tcPr>
            <w:tcW w:type="dxa" w:w="5112"/>
            <w:vAlign w:val="center"/>
          </w:tcPr>
          <w:p>
            <w:r/>
            <w:r>
              <w:rPr>
                <w:b w:val="0"/>
                <w:sz w:val="17"/>
              </w:rPr>
              <w:t>One authoritative map layer stack for LIVE and SIMULATION; no separate decorative fire engine in frontend.</w:t>
            </w:r>
          </w:p>
        </w:tc>
      </w:tr>
      <w:tr>
        <w:tc>
          <w:tcPr>
            <w:tcW w:type="dxa" w:w="5112"/>
            <w:vAlign w:val="center"/>
          </w:tcPr>
          <w:p>
            <w:r/>
            <w:r>
              <w:rPr>
                <w:b w:val="0"/>
                <w:sz w:val="17"/>
              </w:rPr>
              <w:t>State model</w:t>
            </w:r>
          </w:p>
        </w:tc>
        <w:tc>
          <w:tcPr>
            <w:tcW w:type="dxa" w:w="5112"/>
            <w:vAlign w:val="center"/>
          </w:tcPr>
          <w:p>
            <w:r/>
            <w:r>
              <w:rPr>
                <w:b w:val="0"/>
                <w:sz w:val="17"/>
              </w:rPr>
              <w:t>UI consumes canonical incident/node/alert state enums from backend contracts.</w:t>
            </w:r>
          </w:p>
        </w:tc>
      </w:tr>
      <w:tr>
        <w:tc>
          <w:tcPr>
            <w:tcW w:type="dxa" w:w="5112"/>
            <w:vAlign w:val="center"/>
          </w:tcPr>
          <w:p>
            <w:r/>
            <w:r>
              <w:rPr>
                <w:b w:val="0"/>
                <w:sz w:val="17"/>
              </w:rPr>
              <w:t>Permissions</w:t>
            </w:r>
          </w:p>
        </w:tc>
        <w:tc>
          <w:tcPr>
            <w:tcW w:type="dxa" w:w="5112"/>
            <w:vAlign w:val="center"/>
          </w:tcPr>
          <w:p>
            <w:r/>
            <w:r>
              <w:rPr>
                <w:b w:val="0"/>
                <w:sz w:val="17"/>
              </w:rPr>
              <w:t>Action visibility and enabled state derived from authorization model; backend remains authority.</w:t>
            </w:r>
          </w:p>
        </w:tc>
      </w:tr>
      <w:tr>
        <w:tc>
          <w:tcPr>
            <w:tcW w:type="dxa" w:w="5112"/>
            <w:vAlign w:val="center"/>
          </w:tcPr>
          <w:p>
            <w:r/>
            <w:r>
              <w:rPr>
                <w:b w:val="0"/>
                <w:sz w:val="17"/>
              </w:rPr>
              <w:t>Offline</w:t>
            </w:r>
          </w:p>
        </w:tc>
        <w:tc>
          <w:tcPr>
            <w:tcW w:type="dxa" w:w="5112"/>
            <w:vAlign w:val="center"/>
          </w:tcPr>
          <w:p>
            <w:r/>
            <w:r>
              <w:rPr>
                <w:b w:val="0"/>
                <w:sz w:val="17"/>
              </w:rPr>
              <w:t>Service-worker/PWA cache only for approved assets/data; cache age shown to user; local portal uses same presentation contract.</w:t>
            </w:r>
          </w:p>
        </w:tc>
      </w:tr>
      <w:tr>
        <w:tc>
          <w:tcPr>
            <w:tcW w:type="dxa" w:w="5112"/>
            <w:vAlign w:val="center"/>
          </w:tcPr>
          <w:p>
            <w:r/>
            <w:r>
              <w:rPr>
                <w:b w:val="0"/>
                <w:sz w:val="17"/>
              </w:rPr>
              <w:t>Telemetry</w:t>
            </w:r>
          </w:p>
        </w:tc>
        <w:tc>
          <w:tcPr>
            <w:tcW w:type="dxa" w:w="5112"/>
            <w:vAlign w:val="center"/>
          </w:tcPr>
          <w:p>
            <w:r/>
            <w:r>
              <w:rPr>
                <w:b w:val="0"/>
                <w:sz w:val="17"/>
              </w:rPr>
              <w:t>UI reads normalized telemetry/quality/anomaly/evidence payloads; no frontend recalculation of system-of-record decisions.</w:t>
            </w:r>
          </w:p>
        </w:tc>
      </w:tr>
      <w:tr>
        <w:tc>
          <w:tcPr>
            <w:tcW w:type="dxa" w:w="5112"/>
            <w:vAlign w:val="center"/>
          </w:tcPr>
          <w:p>
            <w:r/>
            <w:r>
              <w:rPr>
                <w:b w:val="0"/>
                <w:sz w:val="17"/>
              </w:rPr>
              <w:t>Testing</w:t>
            </w:r>
          </w:p>
        </w:tc>
        <w:tc>
          <w:tcPr>
            <w:tcW w:type="dxa" w:w="5112"/>
            <w:vAlign w:val="center"/>
          </w:tcPr>
          <w:p>
            <w:r/>
            <w:r>
              <w:rPr>
                <w:b w:val="0"/>
                <w:sz w:val="17"/>
              </w:rPr>
              <w:t>Visual regression, accessibility tests, responsive tests, offline tests, stale-data tests, permission tests, and emergency-flow usability checks.</w:t>
            </w:r>
          </w:p>
        </w:tc>
      </w:tr>
    </w:tbl>
    <w:p>
      <w:pPr>
        <w:pStyle w:val="Heading2"/>
        <w:spacing w:after="80" w:line="252" w:lineRule="auto"/>
      </w:pPr>
      <w:r>
        <w:t>12.1 Suggested component tree</w:t>
      </w:r>
    </w:p>
    <w:p>
      <w:pPr>
        <w:spacing w:after="80" w:line="252" w:lineRule="auto"/>
      </w:pPr>
      <w:r>
        <w:t>AppShell → TopBar → PrimaryNav → Workspace → MapCanvas + ContextPanel → CommandCard / IncidentPanel / NodePanel → DetailTabs → DataVisualization. Citizen: EmergencyShell → StatusBanner → HazardSummary → PrimaryAction → MapCard → SafePlaceCard → SOS → DetailsAccordion.</w:t>
      </w:r>
    </w:p>
    <w:p>
      <w:pPr>
        <w:pStyle w:val="Heading1"/>
        <w:spacing w:after="80" w:line="252" w:lineRule="auto"/>
      </w:pPr>
      <w:r>
        <w:t>13. Canonical User Flows</w:t>
      </w:r>
    </w:p>
    <w:p>
      <w:pPr>
        <w:pStyle w:val="Heading2"/>
        <w:spacing w:after="80" w:line="252" w:lineRule="auto"/>
      </w:pPr>
      <w:r>
        <w:t>13.1 Authority flow — new hazard evidence</w:t>
      </w:r>
    </w:p>
    <w:p>
      <w:pPr>
        <w:pStyle w:val="ListNumber"/>
        <w:spacing w:after="80" w:line="252" w:lineRule="auto"/>
      </w:pPr>
      <w:r>
        <w:t>Node/telemetry evidence arrives and freshness is updated.</w:t>
      </w:r>
    </w:p>
    <w:p>
      <w:pPr>
        <w:pStyle w:val="ListNumber"/>
        <w:spacing w:after="80" w:line="252" w:lineRule="auto"/>
      </w:pPr>
      <w:r>
        <w:t>Backend updates anomaly/evidence/confidence/severity/state.</w:t>
      </w:r>
    </w:p>
    <w:p>
      <w:pPr>
        <w:pStyle w:val="ListNumber"/>
        <w:spacing w:after="80" w:line="252" w:lineRule="auto"/>
      </w:pPr>
      <w:r>
        <w:t>Incident Command Card changes only through canonical incident state transitions.</w:t>
      </w:r>
    </w:p>
    <w:p>
      <w:pPr>
        <w:pStyle w:val="ListNumber"/>
        <w:spacing w:after="80" w:line="252" w:lineRule="auto"/>
      </w:pPr>
      <w:r>
        <w:t>Operator opens Explain to review core evidence, counter-evidence, and Information Condition.</w:t>
      </w:r>
    </w:p>
    <w:p>
      <w:pPr>
        <w:pStyle w:val="ListNumber"/>
        <w:spacing w:after="80" w:line="252" w:lineRule="auto"/>
      </w:pPr>
      <w:r>
        <w:t>NexAlert presents a recommendation; authorized human approves alert/response action.</w:t>
      </w:r>
    </w:p>
    <w:p>
      <w:pPr>
        <w:pStyle w:val="ListNumber"/>
        <w:spacing w:after="80" w:line="252" w:lineRule="auto"/>
      </w:pPr>
      <w:r>
        <w:t>Alert Management tracks issued/delivered/acknowledged/unreachable states.</w:t>
      </w:r>
    </w:p>
    <w:p>
      <w:pPr>
        <w:pStyle w:val="ListNumber"/>
        <w:spacing w:after="80" w:line="252" w:lineRule="auto"/>
      </w:pPr>
      <w:r>
        <w:t>Response &amp; Actions tracks assigned/en route/resolved lifecycle.</w:t>
      </w:r>
    </w:p>
    <w:p>
      <w:pPr>
        <w:pStyle w:val="ListNumber"/>
        <w:spacing w:after="80" w:line="252" w:lineRule="auto"/>
      </w:pPr>
      <w:r>
        <w:t>Audit Trail records material transitions and approvals.</w:t>
      </w:r>
    </w:p>
    <w:p>
      <w:pPr>
        <w:pStyle w:val="Heading2"/>
        <w:spacing w:after="80" w:line="252" w:lineRule="auto"/>
      </w:pPr>
      <w:r>
        <w:t>13.2 Citizen flow — online emergency</w:t>
      </w:r>
    </w:p>
    <w:p>
      <w:pPr>
        <w:pStyle w:val="ListNumber"/>
        <w:spacing w:after="80" w:line="252" w:lineRule="auto"/>
      </w:pPr>
      <w:r>
        <w:t>Notification opens emergency page.</w:t>
      </w:r>
    </w:p>
    <w:p>
      <w:pPr>
        <w:pStyle w:val="ListNumber"/>
        <w:spacing w:after="80" w:line="252" w:lineRule="auto"/>
      </w:pPr>
      <w:r>
        <w:t>Hazard/state/severity/distance/direction/freshness appear immediately.</w:t>
      </w:r>
    </w:p>
    <w:p>
      <w:pPr>
        <w:pStyle w:val="ListNumber"/>
        <w:spacing w:after="80" w:line="252" w:lineRule="auto"/>
      </w:pPr>
      <w:r>
        <w:t>User follows primary safe action or opens safe-place details.</w:t>
      </w:r>
    </w:p>
    <w:p>
      <w:pPr>
        <w:pStyle w:val="ListNumber"/>
        <w:spacing w:after="80" w:line="252" w:lineRule="auto"/>
      </w:pPr>
      <w:r>
        <w:t>Map distinguishes current/warning/projection and physical vs operational buffer.</w:t>
      </w:r>
    </w:p>
    <w:p>
      <w:pPr>
        <w:pStyle w:val="ListNumber"/>
        <w:spacing w:after="80" w:line="252" w:lineRule="auto"/>
      </w:pPr>
      <w:r>
        <w:t>User can invoke SOS regardless of known hazard state.</w:t>
      </w:r>
    </w:p>
    <w:p>
      <w:pPr>
        <w:pStyle w:val="ListNumber"/>
        <w:spacing w:after="80" w:line="252" w:lineRule="auto"/>
      </w:pPr>
      <w:r>
        <w:t>Resolved/stand-down state remains explicit until closed.</w:t>
      </w:r>
    </w:p>
    <w:p>
      <w:pPr>
        <w:pStyle w:val="Heading2"/>
        <w:spacing w:after="80" w:line="252" w:lineRule="auto"/>
      </w:pPr>
      <w:r>
        <w:t>13.3 Citizen flow — offline local portal</w:t>
      </w:r>
    </w:p>
    <w:p>
      <w:pPr>
        <w:pStyle w:val="ListNumber"/>
        <w:spacing w:after="80" w:line="252" w:lineRule="auto"/>
      </w:pPr>
      <w:r>
        <w:t>Citizen joins visible NexAlert Wi-Fi network.</w:t>
      </w:r>
    </w:p>
    <w:p>
      <w:pPr>
        <w:pStyle w:val="ListNumber"/>
        <w:spacing w:after="80" w:line="252" w:lineRule="auto"/>
      </w:pPr>
      <w:r>
        <w:t>Captive portal opens local emergency page.</w:t>
      </w:r>
    </w:p>
    <w:p>
      <w:pPr>
        <w:pStyle w:val="ListNumber"/>
        <w:spacing w:after="80" w:line="252" w:lineRule="auto"/>
      </w:pPr>
      <w:r>
        <w:t>Page identifies LOCAL MODE and content age/source.</w:t>
      </w:r>
    </w:p>
    <w:p>
      <w:pPr>
        <w:pStyle w:val="ListNumber"/>
        <w:spacing w:after="80" w:line="252" w:lineRule="auto"/>
      </w:pPr>
      <w:r>
        <w:t>User sees cached/current local incident data and safety action.</w:t>
      </w:r>
    </w:p>
    <w:p>
      <w:pPr>
        <w:pStyle w:val="ListNumber"/>
        <w:spacing w:after="80" w:line="252" w:lineRule="auto"/>
      </w:pPr>
      <w:r>
        <w:t>If no viable route exists, SHELTER IN PLACE is presented.</w:t>
      </w:r>
    </w:p>
    <w:p>
      <w:pPr>
        <w:pStyle w:val="ListNumber"/>
        <w:spacing w:after="80" w:line="252" w:lineRule="auto"/>
      </w:pPr>
      <w:r>
        <w:t>When connectivity recovers, UI shows synchronization/reconnection state.</w:t>
      </w:r>
    </w:p>
    <w:p>
      <w:pPr>
        <w:pStyle w:val="Heading1"/>
        <w:spacing w:after="80" w:line="252" w:lineRule="auto"/>
      </w:pPr>
      <w:r>
        <w:t>14. UI/UX Acceptance Criteria</w:t>
      </w:r>
    </w:p>
    <w:p>
      <w:pPr>
        <w:pStyle w:val="ListBullet"/>
        <w:spacing w:after="80" w:line="252" w:lineRule="auto"/>
      </w:pPr>
      <w:r>
        <w:t>Every critical incident surface shows state, severity, Information Condition, and freshness together.</w:t>
      </w:r>
    </w:p>
    <w:p>
      <w:pPr>
        <w:pStyle w:val="ListBullet"/>
        <w:spacing w:after="80" w:line="252" w:lineRule="auto"/>
      </w:pPr>
      <w:r>
        <w:t>Every map overlay has a legend and is not distinguishable solely by color.</w:t>
      </w:r>
    </w:p>
    <w:p>
      <w:pPr>
        <w:pStyle w:val="ListBullet"/>
        <w:spacing w:after="80" w:line="252" w:lineRule="auto"/>
      </w:pPr>
      <w:r>
        <w:t>LIVE and SIMULATION modes are visually unmistakable and share the same core map interaction model.</w:t>
      </w:r>
    </w:p>
    <w:p>
      <w:pPr>
        <w:pStyle w:val="ListBullet"/>
        <w:spacing w:after="80" w:line="252" w:lineRule="auto"/>
      </w:pPr>
      <w:r>
        <w:t>Fire current/warning/projection zones are visually distinct and linked to authoritative geometry.</w:t>
      </w:r>
    </w:p>
    <w:p>
      <w:pPr>
        <w:pStyle w:val="ListBullet"/>
        <w:spacing w:after="80" w:line="252" w:lineRule="auto"/>
      </w:pPr>
      <w:r>
        <w:t>Physical affected footprint and operational buffer have distinct labels and visual treatments.</w:t>
      </w:r>
    </w:p>
    <w:p>
      <w:pPr>
        <w:pStyle w:val="ListBullet"/>
        <w:spacing w:after="80" w:line="252" w:lineRule="auto"/>
      </w:pPr>
      <w:r>
        <w:t>Citizen emergency first viewport exposes hazard, severity/state, distance/direction, freshness, and primary action without scrolling.</w:t>
      </w:r>
    </w:p>
    <w:p>
      <w:pPr>
        <w:pStyle w:val="ListBullet"/>
        <w:spacing w:after="80" w:line="252" w:lineRule="auto"/>
      </w:pPr>
      <w:r>
        <w:t>SOS remains available even when no known hazard is active and is not auto-rejected by hazard classification.</w:t>
      </w:r>
    </w:p>
    <w:p>
      <w:pPr>
        <w:pStyle w:val="ListBullet"/>
        <w:spacing w:after="80" w:line="252" w:lineRule="auto"/>
      </w:pPr>
      <w:r>
        <w:t>Offline/local mode is visibly identified; stale/cache age is explicit.</w:t>
      </w:r>
    </w:p>
    <w:p>
      <w:pPr>
        <w:pStyle w:val="ListBullet"/>
        <w:spacing w:after="80" w:line="252" w:lineRule="auto"/>
      </w:pPr>
      <w:r>
        <w:t>No UI text treats confidence or risk as probability.</w:t>
      </w:r>
    </w:p>
    <w:p>
      <w:pPr>
        <w:pStyle w:val="ListBullet"/>
        <w:spacing w:after="80" w:line="252" w:lineRule="auto"/>
      </w:pPr>
      <w:r>
        <w:t>No UI implies autonomous dispatch; operational authorization is visibly human-controlled.</w:t>
      </w:r>
    </w:p>
    <w:p>
      <w:pPr>
        <w:pStyle w:val="ListBullet"/>
        <w:spacing w:after="80" w:line="252" w:lineRule="auto"/>
      </w:pPr>
      <w:r>
        <w:t>Master failure and internet failure present distinct user-facing states.</w:t>
      </w:r>
    </w:p>
    <w:p>
      <w:pPr>
        <w:pStyle w:val="ListBullet"/>
        <w:spacing w:after="80" w:line="252" w:lineRule="auto"/>
      </w:pPr>
      <w:r>
        <w:t>No empty state conflates “no incidents” with “data unavailable”.</w:t>
      </w:r>
    </w:p>
    <w:p>
      <w:pPr>
        <w:pStyle w:val="ListBullet"/>
        <w:spacing w:after="80" w:line="252" w:lineRule="auto"/>
      </w:pPr>
      <w:r>
        <w:t>Critical actions are keyboard/touch accessible and have non-color labels.</w:t>
      </w:r>
    </w:p>
    <w:p>
      <w:pPr>
        <w:pStyle w:val="ListBullet"/>
        <w:spacing w:after="80" w:line="252" w:lineRule="auto"/>
      </w:pPr>
      <w:r>
        <w:t>Visual regression passes at desktop, tablet, mobile, and local captive-portal dimensions.</w:t>
      </w:r>
    </w:p>
    <w:p>
      <w:pPr>
        <w:pStyle w:val="ListBullet"/>
        <w:spacing w:after="80" w:line="252" w:lineRule="auto"/>
      </w:pPr>
      <w:r>
        <w:t>Accessibility audit and emergency-flow usability test pass before SIH demo freeze.</w:t>
      </w:r>
    </w:p>
    <w:p>
      <w:pPr>
        <w:pStyle w:val="Heading1"/>
        <w:spacing w:after="80" w:line="252" w:lineRule="auto"/>
      </w:pPr>
      <w:r>
        <w:t>15. Design Token / State Registry Starter</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D9EAF0"/>
          </w:tcPr>
          <w:p>
            <w:r/>
            <w:r>
              <w:rPr>
                <w:b/>
                <w:sz w:val="18"/>
              </w:rPr>
              <w:t>Key</w:t>
            </w:r>
          </w:p>
        </w:tc>
        <w:tc>
          <w:tcPr>
            <w:tcW w:type="dxa" w:w="5112"/>
            <w:vAlign w:val="center"/>
            <w:shd w:fill="D9EAF0"/>
          </w:tcPr>
          <w:p>
            <w:r/>
            <w:r>
              <w:rPr>
                <w:b/>
                <w:sz w:val="18"/>
              </w:rPr>
              <w:t>Value / allowed set</w:t>
            </w:r>
          </w:p>
        </w:tc>
      </w:tr>
      <w:tr>
        <w:tc>
          <w:tcPr>
            <w:tcW w:type="dxa" w:w="5112"/>
            <w:vAlign w:val="center"/>
          </w:tcPr>
          <w:p>
            <w:r/>
            <w:r>
              <w:rPr>
                <w:b w:val="0"/>
                <w:sz w:val="17"/>
              </w:rPr>
              <w:t>incident.state</w:t>
            </w:r>
          </w:p>
        </w:tc>
        <w:tc>
          <w:tcPr>
            <w:tcW w:type="dxa" w:w="5112"/>
            <w:vAlign w:val="center"/>
          </w:tcPr>
          <w:p>
            <w:r/>
            <w:r>
              <w:rPr>
                <w:b w:val="0"/>
                <w:sz w:val="17"/>
              </w:rPr>
              <w:t>NORMAL | WATCH | SUSPECTED | CONFIRMED | CRITICAL | RESOLVED</w:t>
            </w:r>
          </w:p>
        </w:tc>
      </w:tr>
      <w:tr>
        <w:tc>
          <w:tcPr>
            <w:tcW w:type="dxa" w:w="5112"/>
            <w:vAlign w:val="center"/>
          </w:tcPr>
          <w:p>
            <w:r/>
            <w:r>
              <w:rPr>
                <w:b w:val="0"/>
                <w:sz w:val="17"/>
              </w:rPr>
              <w:t>information.condition</w:t>
            </w:r>
          </w:p>
        </w:tc>
        <w:tc>
          <w:tcPr>
            <w:tcW w:type="dxa" w:w="5112"/>
            <w:vAlign w:val="center"/>
          </w:tcPr>
          <w:p>
            <w:r/>
            <w:r>
              <w:rPr>
                <w:b w:val="0"/>
                <w:sz w:val="17"/>
              </w:rPr>
              <w:t>GOOD | DEGRADED | UNKNOWN</w:t>
            </w:r>
          </w:p>
        </w:tc>
      </w:tr>
      <w:tr>
        <w:tc>
          <w:tcPr>
            <w:tcW w:type="dxa" w:w="5112"/>
            <w:vAlign w:val="center"/>
          </w:tcPr>
          <w:p>
            <w:r/>
            <w:r>
              <w:rPr>
                <w:b w:val="0"/>
                <w:sz w:val="17"/>
              </w:rPr>
              <w:t>operation.mode</w:t>
            </w:r>
          </w:p>
        </w:tc>
        <w:tc>
          <w:tcPr>
            <w:tcW w:type="dxa" w:w="5112"/>
            <w:vAlign w:val="center"/>
          </w:tcPr>
          <w:p>
            <w:r/>
            <w:r>
              <w:rPr>
                <w:b w:val="0"/>
                <w:sz w:val="17"/>
              </w:rPr>
              <w:t>LIVE | SIMULATION</w:t>
            </w:r>
          </w:p>
        </w:tc>
      </w:tr>
      <w:tr>
        <w:tc>
          <w:tcPr>
            <w:tcW w:type="dxa" w:w="5112"/>
            <w:vAlign w:val="center"/>
          </w:tcPr>
          <w:p>
            <w:r/>
            <w:r>
              <w:rPr>
                <w:b w:val="0"/>
                <w:sz w:val="17"/>
              </w:rPr>
              <w:t>ui.dataFreshness</w:t>
            </w:r>
          </w:p>
        </w:tc>
        <w:tc>
          <w:tcPr>
            <w:tcW w:type="dxa" w:w="5112"/>
            <w:vAlign w:val="center"/>
          </w:tcPr>
          <w:p>
            <w:r/>
            <w:r>
              <w:rPr>
                <w:b w:val="0"/>
                <w:sz w:val="17"/>
              </w:rPr>
              <w:t>LIVE | RECENT | STALE | UNKNOWN</w:t>
            </w:r>
          </w:p>
        </w:tc>
      </w:tr>
      <w:tr>
        <w:tc>
          <w:tcPr>
            <w:tcW w:type="dxa" w:w="5112"/>
            <w:vAlign w:val="center"/>
          </w:tcPr>
          <w:p>
            <w:r/>
            <w:r>
              <w:rPr>
                <w:b w:val="0"/>
                <w:sz w:val="17"/>
              </w:rPr>
              <w:t>hazard.type</w:t>
            </w:r>
          </w:p>
        </w:tc>
        <w:tc>
          <w:tcPr>
            <w:tcW w:type="dxa" w:w="5112"/>
            <w:vAlign w:val="center"/>
          </w:tcPr>
          <w:p>
            <w:r/>
            <w:r>
              <w:rPr>
                <w:b w:val="0"/>
                <w:sz w:val="17"/>
              </w:rPr>
              <w:t>FIRE | FLOOD | POLLUTION | LANDSLIDE | EXTREME_HEAT | UNKNOWN | future configured types</w:t>
            </w:r>
          </w:p>
        </w:tc>
      </w:tr>
      <w:tr>
        <w:tc>
          <w:tcPr>
            <w:tcW w:type="dxa" w:w="5112"/>
            <w:vAlign w:val="center"/>
          </w:tcPr>
          <w:p>
            <w:r/>
            <w:r>
              <w:rPr>
                <w:b w:val="0"/>
                <w:sz w:val="17"/>
              </w:rPr>
              <w:t>zone.kind</w:t>
            </w:r>
          </w:p>
        </w:tc>
        <w:tc>
          <w:tcPr>
            <w:tcW w:type="dxa" w:w="5112"/>
            <w:vAlign w:val="center"/>
          </w:tcPr>
          <w:p>
            <w:r/>
            <w:r>
              <w:rPr>
                <w:b w:val="0"/>
                <w:sz w:val="17"/>
              </w:rPr>
              <w:t>CURRENT | WARNING | AWARENESS | PROJECTION | OPERATIONAL_BUFFER</w:t>
            </w:r>
          </w:p>
        </w:tc>
      </w:tr>
      <w:tr>
        <w:tc>
          <w:tcPr>
            <w:tcW w:type="dxa" w:w="5112"/>
            <w:vAlign w:val="center"/>
          </w:tcPr>
          <w:p>
            <w:r/>
            <w:r>
              <w:rPr>
                <w:b w:val="0"/>
                <w:sz w:val="17"/>
              </w:rPr>
              <w:t>sos.priority</w:t>
            </w:r>
          </w:p>
        </w:tc>
        <w:tc>
          <w:tcPr>
            <w:tcW w:type="dxa" w:w="5112"/>
            <w:vAlign w:val="center"/>
          </w:tcPr>
          <w:p>
            <w:r/>
            <w:r>
              <w:rPr>
                <w:b w:val="0"/>
                <w:sz w:val="17"/>
              </w:rPr>
              <w:t>IMMEDIATE | HIGH | STANDARD | VERIFY</w:t>
            </w:r>
          </w:p>
        </w:tc>
      </w:tr>
      <w:tr>
        <w:tc>
          <w:tcPr>
            <w:tcW w:type="dxa" w:w="5112"/>
            <w:vAlign w:val="center"/>
          </w:tcPr>
          <w:p>
            <w:r/>
            <w:r>
              <w:rPr>
                <w:b w:val="0"/>
                <w:sz w:val="17"/>
              </w:rPr>
              <w:t>safePlace.fallback</w:t>
            </w:r>
          </w:p>
        </w:tc>
        <w:tc>
          <w:tcPr>
            <w:tcW w:type="dxa" w:w="5112"/>
            <w:vAlign w:val="center"/>
          </w:tcPr>
          <w:p>
            <w:r/>
            <w:r>
              <w:rPr>
                <w:b w:val="0"/>
                <w:sz w:val="17"/>
              </w:rPr>
              <w:t>SHELTER_IN_PLACE</w:t>
            </w:r>
          </w:p>
        </w:tc>
      </w:tr>
      <w:tr>
        <w:tc>
          <w:tcPr>
            <w:tcW w:type="dxa" w:w="5112"/>
            <w:vAlign w:val="center"/>
          </w:tcPr>
          <w:p>
            <w:r/>
            <w:r>
              <w:rPr>
                <w:b w:val="0"/>
                <w:sz w:val="17"/>
              </w:rPr>
              <w:t>node.role</w:t>
            </w:r>
          </w:p>
        </w:tc>
        <w:tc>
          <w:tcPr>
            <w:tcW w:type="dxa" w:w="5112"/>
            <w:vAlign w:val="center"/>
          </w:tcPr>
          <w:p>
            <w:r/>
            <w:r>
              <w:rPr>
                <w:b w:val="0"/>
                <w:sz w:val="17"/>
              </w:rPr>
              <w:t>MASTER | FIELD_NODE</w:t>
            </w:r>
          </w:p>
        </w:tc>
      </w:tr>
      <w:tr>
        <w:tc>
          <w:tcPr>
            <w:tcW w:type="dxa" w:w="5112"/>
            <w:vAlign w:val="center"/>
          </w:tcPr>
          <w:p>
            <w:r/>
            <w:r>
              <w:rPr>
                <w:b w:val="0"/>
                <w:sz w:val="17"/>
              </w:rPr>
              <w:t>visual.language</w:t>
            </w:r>
          </w:p>
        </w:tc>
        <w:tc>
          <w:tcPr>
            <w:tcW w:type="dxa" w:w="5112"/>
            <w:vAlign w:val="center"/>
          </w:tcPr>
          <w:p>
            <w:r/>
            <w:r>
              <w:rPr>
                <w:b w:val="0"/>
                <w:sz w:val="17"/>
              </w:rPr>
              <w:t>Shape + label + icon + color; never color alone</w:t>
            </w:r>
          </w:p>
        </w:tc>
      </w:tr>
    </w:tbl>
    <w:p>
      <w:pPr>
        <w:pStyle w:val="Heading1"/>
        <w:spacing w:after="80" w:line="252" w:lineRule="auto"/>
      </w:pPr>
      <w:r>
        <w:t>16. Final UX Guardrails</w:t>
      </w:r>
    </w:p>
    <w:p>
      <w:pPr>
        <w:pStyle w:val="ListBullet"/>
        <w:spacing w:after="80" w:line="252" w:lineRule="auto"/>
      </w:pPr>
      <w:r>
        <w:t>The visual system is part of the safety architecture: misleading polish is a defect, not a cosmetic issue.</w:t>
      </w:r>
    </w:p>
    <w:p>
      <w:pPr>
        <w:pStyle w:val="ListBullet"/>
        <w:spacing w:after="80" w:line="252" w:lineRule="auto"/>
      </w:pPr>
      <w:r>
        <w:t>Information Condition is the explicit command-surface answer to “can we trust what we know right now?”</w:t>
      </w:r>
    </w:p>
    <w:p>
      <w:pPr>
        <w:pStyle w:val="ListBullet"/>
        <w:spacing w:after="80" w:line="252" w:lineRule="auto"/>
      </w:pPr>
      <w:r>
        <w:t>Confidence, severity, and operational risk are presented as distinct concepts.</w:t>
      </w:r>
    </w:p>
    <w:p>
      <w:pPr>
        <w:pStyle w:val="ListBullet"/>
        <w:spacing w:after="80" w:line="252" w:lineRule="auto"/>
      </w:pPr>
      <w:r>
        <w:t>Fire spread visuals are generated from actual geospatial simulation output; the frontend never animates a fake expanding circle as system truth.</w:t>
      </w:r>
    </w:p>
    <w:p>
      <w:pPr>
        <w:pStyle w:val="ListBullet"/>
        <w:spacing w:after="80" w:line="252" w:lineRule="auto"/>
      </w:pPr>
      <w:r>
        <w:t>Offline UI is not a degraded imitation of the cloud UI; it is the same core emergency contract with an explicit local-information state.</w:t>
      </w:r>
    </w:p>
    <w:p>
      <w:pPr>
        <w:pStyle w:val="ListBullet"/>
        <w:spacing w:after="80" w:line="252" w:lineRule="auto"/>
      </w:pPr>
      <w:r>
        <w:t>Every high-impact action exposes who/what approved it and when.</w:t>
      </w:r>
    </w:p>
    <w:p>
      <w:pPr>
        <w:pStyle w:val="ListBullet"/>
        <w:spacing w:after="80" w:line="252" w:lineRule="auto"/>
      </w:pPr>
      <w:r>
        <w:t>For SIH demonstration, the polished UI must show the architecture honestly: real telemetry path, real incident state, real map geometry, real stale/failure behavior, and visible resilience.</w:t>
      </w:r>
    </w:p>
    <w:p>
      <w:pPr>
        <w:pStyle w:val="Heading1"/>
        <w:spacing w:after="80" w:line="252" w:lineRule="auto"/>
      </w:pPr>
      <w:r>
        <w:t>17. Document Closeout</w:t>
      </w:r>
    </w:p>
    <w:p>
      <w:pPr>
        <w:spacing w:after="80" w:line="252" w:lineRule="auto"/>
      </w:pPr>
      <w:r>
        <w:t>This design-system specification is the authoritative UI/UX baseline for NexAlert implementation. Any deviation that changes the meaning of state, confidence, risk, safety action, offline behavior, or operational authorization requires explicit architecture review and must be reflected in the relevant source specification before frontend freeze.</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16"/>
      </w:rPr>
      <w:t>NEXALERT  |  FINAL SPECIFICATION 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