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71EF" w14:textId="1FA6AAC5" w:rsidR="00100DFB" w:rsidRDefault="00100DFB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 xml:space="preserve">Legend - </w:t>
      </w:r>
      <w:r w:rsidRPr="00100DFB"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 xml:space="preserve">Hierarchical machine learning identifies genomic features underlying serotype variation in </w:t>
      </w:r>
      <w:r w:rsidRPr="00100DFB">
        <w:rPr>
          <w:rFonts w:ascii="Arial" w:eastAsia="Arial" w:hAnsi="Arial" w:cs="Arial"/>
          <w:b/>
          <w:bCs/>
          <w:i/>
          <w:iCs/>
          <w:kern w:val="0"/>
          <w:lang w:val="en-US" w:eastAsia="zh-CN" w:bidi="hi-IN"/>
          <w14:ligatures w14:val="none"/>
        </w:rPr>
        <w:t>Vibrio cholerae</w:t>
      </w:r>
    </w:p>
    <w:p w14:paraId="68A87931" w14:textId="72E358E6" w:rsidR="000F6A20" w:rsidRPr="000F6A20" w:rsidRDefault="000F6A20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>Figure</w:t>
      </w:r>
      <w: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>:</w:t>
      </w:r>
    </w:p>
    <w:p w14:paraId="53A6BCA2" w14:textId="77777777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Figure 1: Population structure analysis of 1,866 </w:t>
      </w:r>
      <w:r>
        <w:rPr>
          <w:b/>
          <w:bCs/>
          <w:i/>
          <w:iCs/>
          <w:sz w:val="24"/>
          <w:szCs w:val="24"/>
        </w:rPr>
        <w:t xml:space="preserve">Vibrio cholerae </w:t>
      </w:r>
      <w:r>
        <w:rPr>
          <w:b/>
          <w:bCs/>
          <w:sz w:val="24"/>
          <w:szCs w:val="24"/>
        </w:rPr>
        <w:t>genomes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(A) </w:t>
      </w:r>
      <w:r>
        <w:rPr>
          <w:sz w:val="24"/>
          <w:szCs w:val="24"/>
        </w:rPr>
        <w:t xml:space="preserve">Distribution of VSP-I genomic islands among the </w:t>
      </w:r>
      <w:proofErr w:type="spellStart"/>
      <w:r>
        <w:rPr>
          <w:sz w:val="24"/>
          <w:szCs w:val="24"/>
        </w:rPr>
        <w:t>PCoA</w:t>
      </w:r>
      <w:proofErr w:type="spellEnd"/>
      <w:r>
        <w:rPr>
          <w:sz w:val="24"/>
          <w:szCs w:val="24"/>
        </w:rPr>
        <w:t xml:space="preserve"> clusters </w:t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Distribution of VSP-II genomic islands among the </w:t>
      </w:r>
      <w:proofErr w:type="spellStart"/>
      <w:r>
        <w:rPr>
          <w:sz w:val="24"/>
          <w:szCs w:val="24"/>
        </w:rPr>
        <w:t>PCoA</w:t>
      </w:r>
      <w:proofErr w:type="spellEnd"/>
      <w:r>
        <w:rPr>
          <w:sz w:val="24"/>
          <w:szCs w:val="24"/>
        </w:rPr>
        <w:t xml:space="preserve"> clusters </w:t>
      </w:r>
      <w:r>
        <w:rPr>
          <w:b/>
          <w:bCs/>
          <w:sz w:val="24"/>
          <w:szCs w:val="24"/>
        </w:rPr>
        <w:t>(C)</w:t>
      </w:r>
      <w:r>
        <w:rPr>
          <w:sz w:val="24"/>
          <w:szCs w:val="24"/>
        </w:rPr>
        <w:t xml:space="preserve"> Distribution of serotypes among the </w:t>
      </w:r>
      <w:proofErr w:type="spellStart"/>
      <w:r>
        <w:rPr>
          <w:sz w:val="24"/>
          <w:szCs w:val="24"/>
        </w:rPr>
        <w:t>PCoA</w:t>
      </w:r>
      <w:proofErr w:type="spellEnd"/>
      <w:r>
        <w:rPr>
          <w:sz w:val="24"/>
          <w:szCs w:val="24"/>
        </w:rPr>
        <w:t xml:space="preserve"> clusters </w:t>
      </w:r>
      <w:r>
        <w:rPr>
          <w:b/>
          <w:bCs/>
          <w:sz w:val="24"/>
          <w:szCs w:val="24"/>
        </w:rPr>
        <w:t xml:space="preserve">(D) </w:t>
      </w:r>
      <w:r>
        <w:rPr>
          <w:sz w:val="24"/>
          <w:szCs w:val="24"/>
        </w:rPr>
        <w:t xml:space="preserve">Core genome phylogenetic tree with adjacent bars indicating the serotypes, </w:t>
      </w:r>
      <w:proofErr w:type="spellStart"/>
      <w:r>
        <w:rPr>
          <w:sz w:val="24"/>
          <w:szCs w:val="24"/>
        </w:rPr>
        <w:t>PCoA</w:t>
      </w:r>
      <w:proofErr w:type="spellEnd"/>
      <w:r>
        <w:rPr>
          <w:sz w:val="24"/>
          <w:szCs w:val="24"/>
        </w:rPr>
        <w:t xml:space="preserve"> clusters, VSP-I and II genomic islands, respectively</w:t>
      </w:r>
    </w:p>
    <w:p w14:paraId="3E9F6DBD" w14:textId="77777777" w:rsidR="000F6A20" w:rsidRDefault="000F6A20" w:rsidP="000F6A20">
      <w:pPr>
        <w:pStyle w:val="LO-normal"/>
        <w:spacing w:line="360" w:lineRule="auto"/>
        <w:jc w:val="both"/>
        <w:rPr>
          <w:sz w:val="24"/>
          <w:szCs w:val="24"/>
        </w:rPr>
      </w:pPr>
    </w:p>
    <w:p w14:paraId="65673BB9" w14:textId="77777777" w:rsidR="000F6A20" w:rsidRDefault="000F6A20" w:rsidP="000F6A20">
      <w:pPr>
        <w:pStyle w:val="LO-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Figure 2: Features for hierarchical machine learning-based classification.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(C)</w:t>
      </w:r>
      <w:r>
        <w:rPr>
          <w:sz w:val="24"/>
          <w:szCs w:val="24"/>
        </w:rPr>
        <w:t xml:space="preserve"> show the distribution of ROC-AUC values obtained by the logistic regression and random forest classifiers using feature sets selected by Boruta, LASSO, and their intersection for serogroup and serotype classification, respectively. </w:t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(D)</w:t>
      </w:r>
      <w:r>
        <w:rPr>
          <w:sz w:val="24"/>
          <w:szCs w:val="24"/>
        </w:rPr>
        <w:t xml:space="preserve"> show the SHAP feature importance plots of the best-performing model for serogroup and serotype classification, respectively. Genes located within the OAGC regions are highlighted in blue.</w:t>
      </w:r>
    </w:p>
    <w:p w14:paraId="58B87F9A" w14:textId="69E2A7D2" w:rsidR="000F6A20" w:rsidRDefault="000F6A20"/>
    <w:p w14:paraId="7B2E0599" w14:textId="6C7775EC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Figure 3: Heatmaps depicting the distribution of significantly associated (A) AMR, (B) virulence genes and (C) integrons among serotypes grouped based on </w:t>
      </w:r>
      <w:proofErr w:type="spellStart"/>
      <w:r>
        <w:rPr>
          <w:b/>
          <w:bCs/>
          <w:sz w:val="24"/>
          <w:szCs w:val="24"/>
        </w:rPr>
        <w:t>PCoA</w:t>
      </w:r>
      <w:proofErr w:type="spellEnd"/>
      <w:r>
        <w:rPr>
          <w:b/>
          <w:bCs/>
          <w:sz w:val="24"/>
          <w:szCs w:val="24"/>
        </w:rPr>
        <w:t xml:space="preserve"> clustering</w:t>
      </w:r>
    </w:p>
    <w:p w14:paraId="6CABD136" w14:textId="77777777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</w:p>
    <w:p w14:paraId="2CF56F50" w14:textId="623D8BBB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Table:</w:t>
      </w:r>
    </w:p>
    <w:p w14:paraId="38FB54B3" w14:textId="77777777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</w:p>
    <w:p w14:paraId="25B35760" w14:textId="77777777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1: Model performance for serogroup classification before and after </w:t>
      </w:r>
      <w:proofErr w:type="gramStart"/>
      <w:r>
        <w:rPr>
          <w:b/>
          <w:bCs/>
          <w:sz w:val="24"/>
          <w:szCs w:val="24"/>
        </w:rPr>
        <w:t>10 fold</w:t>
      </w:r>
      <w:proofErr w:type="gramEnd"/>
      <w:r>
        <w:rPr>
          <w:b/>
          <w:bCs/>
          <w:sz w:val="24"/>
          <w:szCs w:val="24"/>
        </w:rPr>
        <w:t xml:space="preserve"> CV and hyperparameter tuning</w:t>
      </w:r>
    </w:p>
    <w:p w14:paraId="39C5FAA9" w14:textId="77777777" w:rsidR="000F6A20" w:rsidRDefault="000F6A20"/>
    <w:p w14:paraId="36E51BA2" w14:textId="77777777" w:rsidR="000F6A20" w:rsidRDefault="000F6A20" w:rsidP="000F6A2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2: Model performance </w:t>
      </w:r>
      <w:r w:rsidRPr="00E20633">
        <w:rPr>
          <w:b/>
          <w:bCs/>
          <w:sz w:val="24"/>
          <w:szCs w:val="24"/>
        </w:rPr>
        <w:t xml:space="preserve">for serotype classification </w:t>
      </w:r>
      <w:r>
        <w:rPr>
          <w:b/>
          <w:bCs/>
          <w:sz w:val="24"/>
          <w:szCs w:val="24"/>
        </w:rPr>
        <w:t xml:space="preserve">before and after </w:t>
      </w:r>
      <w:proofErr w:type="gramStart"/>
      <w:r>
        <w:rPr>
          <w:b/>
          <w:bCs/>
          <w:sz w:val="24"/>
          <w:szCs w:val="24"/>
        </w:rPr>
        <w:t>10 fold</w:t>
      </w:r>
      <w:proofErr w:type="gramEnd"/>
      <w:r>
        <w:rPr>
          <w:b/>
          <w:bCs/>
          <w:sz w:val="24"/>
          <w:szCs w:val="24"/>
        </w:rPr>
        <w:t xml:space="preserve"> CV and hyperparameter tuning</w:t>
      </w:r>
    </w:p>
    <w:p w14:paraId="2536804F" w14:textId="77777777" w:rsidR="000F6A20" w:rsidRPr="000F6A20" w:rsidRDefault="000F6A20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</w:p>
    <w:p w14:paraId="153A050E" w14:textId="347E2104" w:rsidR="000F6A20" w:rsidRPr="000F6A20" w:rsidRDefault="000F6A20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>Supplementary material:</w:t>
      </w:r>
    </w:p>
    <w:p w14:paraId="625EB60C" w14:textId="26CE547B" w:rsidR="000F6A20" w:rsidRPr="000F6A20" w:rsidRDefault="000F6A20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>Figures:</w:t>
      </w:r>
    </w:p>
    <w:p w14:paraId="2F66D3F2" w14:textId="4362FCF9" w:rsidR="000F6A20" w:rsidRPr="000F6A20" w:rsidRDefault="000F6A20" w:rsidP="000F6A20">
      <w:pPr>
        <w:pStyle w:val="LO-normal"/>
        <w:jc w:val="both"/>
        <w:rPr>
          <w:sz w:val="24"/>
          <w:szCs w:val="24"/>
        </w:rPr>
      </w:pPr>
      <w:r w:rsidRPr="000F6A20">
        <w:rPr>
          <w:sz w:val="24"/>
          <w:szCs w:val="24"/>
        </w:rPr>
        <w:t>Supplementary Figure 1</w:t>
      </w:r>
      <w:r>
        <w:rPr>
          <w:sz w:val="24"/>
          <w:szCs w:val="24"/>
        </w:rPr>
        <w:t xml:space="preserve"> (Additional file-1):</w:t>
      </w:r>
      <w:r w:rsidRPr="000F6A20">
        <w:rPr>
          <w:sz w:val="24"/>
          <w:szCs w:val="24"/>
        </w:rPr>
        <w:t xml:space="preserve"> Mapping of misclassified genomes (false positives and false negatives) for (A) serogroup and (B) serotype classification.</w:t>
      </w:r>
    </w:p>
    <w:p w14:paraId="4C1A7E29" w14:textId="77777777" w:rsidR="000F6A20" w:rsidRDefault="000F6A20"/>
    <w:p w14:paraId="74A35280" w14:textId="53FE3F2E" w:rsidR="000F6A20" w:rsidRPr="000F6A20" w:rsidRDefault="000F6A20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  <w:t>Tables:</w:t>
      </w:r>
    </w:p>
    <w:p w14:paraId="44C28B6E" w14:textId="19E8C835" w:rsidR="000F6A20" w:rsidRDefault="000F6A20" w:rsidP="000F6A20">
      <w:pPr>
        <w:pStyle w:val="LO-normal"/>
        <w:jc w:val="both"/>
        <w:rPr>
          <w:sz w:val="24"/>
          <w:szCs w:val="24"/>
        </w:rPr>
      </w:pPr>
      <w:r w:rsidRPr="000F6A20">
        <w:rPr>
          <w:sz w:val="24"/>
          <w:szCs w:val="24"/>
        </w:rPr>
        <w:t>Supplementary table 1</w:t>
      </w:r>
      <w:r>
        <w:rPr>
          <w:sz w:val="24"/>
          <w:szCs w:val="24"/>
        </w:rPr>
        <w:t xml:space="preserve"> (Additional file-1)</w:t>
      </w:r>
      <w:r w:rsidRPr="000F6A20">
        <w:rPr>
          <w:sz w:val="24"/>
          <w:szCs w:val="24"/>
        </w:rPr>
        <w:t>: VSP genomic island classification criteria</w:t>
      </w:r>
    </w:p>
    <w:p w14:paraId="34F04D6D" w14:textId="77777777" w:rsidR="000F6A20" w:rsidRPr="000F6A20" w:rsidRDefault="000F6A20" w:rsidP="000F6A20">
      <w:pPr>
        <w:pStyle w:val="LO-normal"/>
        <w:jc w:val="both"/>
        <w:rPr>
          <w:sz w:val="24"/>
          <w:szCs w:val="24"/>
        </w:rPr>
      </w:pPr>
    </w:p>
    <w:p w14:paraId="3A6821F5" w14:textId="1AD9ADFE" w:rsidR="000F6A20" w:rsidRPr="000F6A20" w:rsidRDefault="000F6A20">
      <w:pPr>
        <w:rPr>
          <w:rFonts w:ascii="Arial" w:eastAsia="Arial" w:hAnsi="Arial" w:cs="Arial"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>Supplementary table 2</w:t>
      </w:r>
      <w:r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 (Additional file 2)</w:t>
      </w:r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: </w:t>
      </w:r>
    </w:p>
    <w:p w14:paraId="0B30C708" w14:textId="0D041AD7" w:rsidR="000F6A20" w:rsidRPr="000F6A20" w:rsidRDefault="000F6A20">
      <w:pPr>
        <w:rPr>
          <w:rFonts w:ascii="Arial" w:eastAsia="Arial" w:hAnsi="Arial" w:cs="Arial"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lastRenderedPageBreak/>
        <w:t xml:space="preserve">Sheet 1: </w:t>
      </w:r>
      <w:proofErr w:type="spellStart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>Chisq</w:t>
      </w:r>
      <w:proofErr w:type="spellEnd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 test association between AMR genes and serotype</w:t>
      </w:r>
    </w:p>
    <w:p w14:paraId="64BE93A8" w14:textId="1FE1F555" w:rsidR="000F6A20" w:rsidRPr="000F6A20" w:rsidRDefault="000F6A20" w:rsidP="000F6A20">
      <w:pPr>
        <w:rPr>
          <w:rFonts w:ascii="Arial" w:eastAsia="Arial" w:hAnsi="Arial" w:cs="Arial"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Sheet 2: </w:t>
      </w:r>
      <w:proofErr w:type="spellStart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>Chisq</w:t>
      </w:r>
      <w:proofErr w:type="spellEnd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 test association between virulence genes and serotype</w:t>
      </w:r>
    </w:p>
    <w:p w14:paraId="7E3372D0" w14:textId="3CFD186F" w:rsidR="000F6A20" w:rsidRPr="000F6A20" w:rsidRDefault="000F6A20" w:rsidP="000F6A20">
      <w:pPr>
        <w:rPr>
          <w:rFonts w:ascii="Arial" w:eastAsia="Arial" w:hAnsi="Arial" w:cs="Arial"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Sheet 3: </w:t>
      </w:r>
      <w:proofErr w:type="spellStart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>Chisq</w:t>
      </w:r>
      <w:proofErr w:type="spellEnd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 test association between integrons and serotype</w:t>
      </w:r>
    </w:p>
    <w:p w14:paraId="16C88D27" w14:textId="1163685A" w:rsidR="000F6A20" w:rsidRPr="000F6A20" w:rsidRDefault="000F6A20" w:rsidP="000F6A20">
      <w:pPr>
        <w:rPr>
          <w:rFonts w:ascii="Arial" w:eastAsia="Arial" w:hAnsi="Arial" w:cs="Arial"/>
          <w:kern w:val="0"/>
          <w:lang w:val="en-US" w:eastAsia="zh-CN" w:bidi="hi-IN"/>
          <w14:ligatures w14:val="none"/>
        </w:rPr>
      </w:pPr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Sheet 4: </w:t>
      </w:r>
      <w:proofErr w:type="spellStart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>Chisq</w:t>
      </w:r>
      <w:proofErr w:type="spellEnd"/>
      <w:r w:rsidRPr="000F6A20">
        <w:rPr>
          <w:rFonts w:ascii="Arial" w:eastAsia="Arial" w:hAnsi="Arial" w:cs="Arial"/>
          <w:kern w:val="0"/>
          <w:lang w:val="en-US" w:eastAsia="zh-CN" w:bidi="hi-IN"/>
          <w14:ligatures w14:val="none"/>
        </w:rPr>
        <w:t xml:space="preserve"> test association between transposons and serotype</w:t>
      </w:r>
    </w:p>
    <w:p w14:paraId="6EB30473" w14:textId="77777777" w:rsidR="000F6A20" w:rsidRPr="000F6A20" w:rsidRDefault="000F6A20">
      <w:pPr>
        <w:rPr>
          <w:rFonts w:ascii="Arial" w:eastAsia="Arial" w:hAnsi="Arial" w:cs="Arial"/>
          <w:b/>
          <w:bCs/>
          <w:kern w:val="0"/>
          <w:lang w:val="en-US" w:eastAsia="zh-CN" w:bidi="hi-IN"/>
          <w14:ligatures w14:val="none"/>
        </w:rPr>
      </w:pPr>
    </w:p>
    <w:p w14:paraId="113DAD59" w14:textId="77777777" w:rsidR="000F6A20" w:rsidRDefault="000F6A20"/>
    <w:sectPr w:rsidR="000F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20"/>
    <w:rsid w:val="000F6A20"/>
    <w:rsid w:val="00100DFB"/>
    <w:rsid w:val="00466A4F"/>
    <w:rsid w:val="00E0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9357"/>
  <w15:chartTrackingRefBased/>
  <w15:docId w15:val="{3DBFC5E4-93CB-430E-8AA6-FAE25328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20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0F6A20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V</dc:creator>
  <cp:keywords/>
  <dc:description/>
  <cp:lastModifiedBy>Bhargavi V</cp:lastModifiedBy>
  <cp:revision>2</cp:revision>
  <dcterms:created xsi:type="dcterms:W3CDTF">2026-09-23T16:10:00Z</dcterms:created>
  <dcterms:modified xsi:type="dcterms:W3CDTF">2026-09-23T16:22:00Z</dcterms:modified>
</cp:coreProperties>
</file>