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X1e4aef36ca5ed3bf6d509be6f505aeed88fb9f1"/>
    <w:p>
      <w:pPr>
        <w:pStyle w:val="Heading1"/>
      </w:pPr>
      <w:r>
        <w:t xml:space="preserve">Handoff Notes — Rigveda Samhita Vol. 1 Translation Project</w:t>
      </w:r>
    </w:p>
    <w:p>
      <w:pPr>
        <w:pStyle w:val="FirstParagraph"/>
      </w:pPr>
      <w:r>
        <w:rPr>
          <w:bCs/>
          <w:b/>
        </w:rPr>
        <w:t xml:space="preserve">Source file:</w:t>
      </w:r>
      <w:r>
        <w:t xml:space="preserve"> </w:t>
      </w:r>
      <w:r>
        <w:rPr>
          <w:rStyle w:val="VerbatimChar"/>
        </w:rPr>
        <w:t xml:space="preserve">/mnt/user-data/uploads/01_Rigveda_Samhitha_Volume_1.pdf</w:t>
      </w:r>
      <w:r>
        <w:t xml:space="preserve"> </w:t>
      </w:r>
      <w:r>
        <w:t xml:space="preserve">945-page scanned Kannada text,</w:t>
      </w:r>
      <w:r>
        <w:t xml:space="preserve"> </w:t>
      </w:r>
      <w:r>
        <w:t xml:space="preserve">“</w:t>
      </w:r>
      <w:r>
        <w:t xml:space="preserve">Rigveda Samhita</w:t>
      </w:r>
      <w:r>
        <w:t xml:space="preserve">”</w:t>
      </w:r>
      <w:r>
        <w:t xml:space="preserve"> </w:t>
      </w:r>
      <w:r>
        <w:t xml:space="preserve">with Sayana’s commentary, Kannada translation by Veda-pandita Venkatarao (1947).</w:t>
      </w:r>
    </w:p>
    <w:p>
      <w:pPr>
        <w:pStyle w:val="BodyText"/>
      </w:pPr>
      <w:r>
        <w:rPr>
          <w:bCs/>
          <w:b/>
        </w:rPr>
        <w:t xml:space="preserve">Progress as of this handoff:</w:t>
      </w:r>
      <w:r>
        <w:t xml:space="preserve"> </w:t>
      </w:r>
      <w:r>
        <w:t xml:space="preserve">🎉</w:t>
      </w:r>
      <w:r>
        <w:t xml:space="preserve"> </w:t>
      </w:r>
      <w:r>
        <w:rPr>
          <w:bCs/>
          <w:b/>
        </w:rPr>
        <w:t xml:space="preserve">MILESTONE — the entire Bhūmikā (Sayana’s preface) is complete</w:t>
      </w:r>
      <w:r>
        <w:t xml:space="preserve">, through PDF page 621 / printed page 593. PDF page 622 is a decorative Ganesha illustration marking the section’s formal close, followed by the colophon</w:t>
      </w:r>
      <w:r>
        <w:t xml:space="preserve"> </w:t>
      </w:r>
      <w:r>
        <w:t xml:space="preserve">“</w:t>
      </w:r>
      <w:r>
        <w:t xml:space="preserve">इति सायणाचार्यकृता ऋग्वेदभाष्यभूमिका समाप्ता ॥ श्रीरस्तु ॥</w:t>
      </w:r>
      <w:r>
        <w:t xml:space="preserve">”</w:t>
      </w:r>
      <w:r>
        <w:t xml:space="preserve"> </w:t>
      </w:r>
      <w:r>
        <w:t xml:space="preserve">(</w:t>
      </w:r>
      <w:r>
        <w:t xml:space="preserve">“</w:t>
      </w:r>
      <w:r>
        <w:t xml:space="preserve">Thus ends the Rigveda-Bhashya-Bhumika, composed by Sayanacharya. May there be auspiciousness.</w:t>
      </w:r>
      <w:r>
        <w:t xml:space="preserve">”</w:t>
      </w:r>
      <w:r>
        <w:t xml:space="preserve">). The Bhumika ran from PDF page 369 to 621 (printed 345–593) — see the Content Map below for the full philosophical arc it covers.</w:t>
      </w:r>
      <w:r>
        <w:t xml:space="preserve"> </w:t>
      </w:r>
      <w:r>
        <w:rPr>
          <w:bCs/>
          <w:b/>
        </w:rPr>
        <w:t xml:space="preserve">The next portion of the source (PDF page 623 onward) begins the Rigveda commentary proper</w:t>
      </w:r>
      <w:r>
        <w:t xml:space="preserve"> </w:t>
      </w:r>
      <w:r>
        <w:t xml:space="preserve">— the actual verse-by-verse Sayana-bhashya this entire preface has been building toward.</w:t>
      </w:r>
    </w:p>
    <w:p>
      <w:pPr>
        <w:pStyle w:val="BodyText"/>
      </w:pPr>
      <w:r>
        <w:rPr>
          <w:bCs/>
          <w:b/>
        </w:rPr>
        <w:t xml:space="preserve">Target status:</w:t>
      </w:r>
      <w:r>
        <w:t xml:space="preserve"> </w:t>
      </w:r>
      <w:r>
        <w:t xml:space="preserve">the previous target (PDF page 622) has been reached. No new target is set. Two paths forward, awaiting user direction: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(a) Begin the deferred verification/repair pass</w:t>
      </w:r>
      <w:r>
        <w:t xml:space="preserve"> </w:t>
      </w:r>
      <w:r>
        <w:t xml:space="preserve">— see section 12b below for the full outstanding-repairs list, now substantial after this session’s work.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(b) Continue forward translation</w:t>
      </w:r>
      <w:r>
        <w:t xml:space="preserve"> </w:t>
      </w:r>
      <w:r>
        <w:t xml:space="preserve">into the commentary proper, starting PDF page 623 / printed page 594.</w:t>
      </w:r>
    </w:p>
    <w:p>
      <w:pPr>
        <w:pStyle w:val="BodyText"/>
      </w:pPr>
      <w:r>
        <w:rPr>
          <w:bCs/>
          <w:b/>
        </w:rPr>
        <w:t xml:space="preserve">Output files: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Rigveda_Samhita_Vol1_English_Translation.md</w:t>
      </w:r>
      <w:r>
        <w:t xml:space="preserve"> </w:t>
      </w:r>
      <w:r>
        <w:t xml:space="preserve">— master markdown (~12,180 lines)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Rigveda_Samhita_Vol1_English_Translation.docx</w:t>
      </w:r>
      <w:r>
        <w:t xml:space="preserve"> </w:t>
      </w:r>
      <w:r>
        <w:t xml:space="preserve">— Word version, regenerated from the .md via pandoc —</w:t>
      </w:r>
      <w:r>
        <w:t xml:space="preserve"> </w:t>
      </w:r>
      <w:r>
        <w:rPr>
          <w:bCs/>
          <w:b/>
        </w:rPr>
        <w:t xml:space="preserve">regenerate before presenting; may be stale relative to the .md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Translation_Conventions_Handoff.md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t xml:space="preserve">— this document</w:t>
      </w:r>
    </w:p>
    <w:p>
      <w:r>
        <w:pict>
          <v:rect style="width:0;height:1.5pt" o:hralign="center" o:hrstd="t" o:hr="t"/>
        </w:pict>
      </w:r>
    </w:p>
    <w:bookmarkStart w:id="20" w:name="X2174440d2292dbf02e2bea18081a5c26174c509"/>
    <w:p>
      <w:pPr>
        <w:pStyle w:val="Heading2"/>
      </w:pPr>
      <w:r>
        <w:t xml:space="preserve">Core conventions (established over the project; unchanged unless noted)</w:t>
      </w:r>
    </w:p>
    <w:p>
      <w:pPr>
        <w:pStyle w:val="FirstParagraph"/>
      </w:pPr>
      <w:r>
        <w:rPr>
          <w:bCs/>
          <w:b/>
        </w:rPr>
        <w:t xml:space="preserve">1. Sanskrit formatting — ALWAYS THREE LAYERS, NO EXCEPTIONS:</w:t>
      </w:r>
      <w:r>
        <w:t xml:space="preserve"> </w:t>
      </w:r>
      <w:r>
        <w:rPr>
          <w:bCs/>
          <w:b/>
        </w:rPr>
        <w:t xml:space="preserve">Devanagari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IAST transliteration</w:t>
      </w:r>
      <w:r>
        <w:t xml:space="preserve"> </w:t>
      </w:r>
      <w:r>
        <w:t xml:space="preserve">+</w:t>
      </w:r>
      <w:r>
        <w:t xml:space="preserve"> </w:t>
      </w:r>
      <w:r>
        <w:rPr>
          <w:bCs/>
          <w:b/>
        </w:rPr>
        <w:t xml:space="preserve">English translation</w:t>
      </w:r>
      <w:r>
        <w:t xml:space="preserve">, on every citation. Never English alone. Never IAST alone.</w:t>
      </w:r>
      <w:r>
        <w:t xml:space="preserve"> </w:t>
      </w:r>
      <w:r>
        <w:rPr>
          <w:bCs/>
          <w:b/>
        </w:rPr>
        <w:t xml:space="preserve">Never describe this as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two layers</w:t>
      </w:r>
      <w:r>
        <w:rPr>
          <w:bCs/>
          <w:b/>
        </w:rPr>
        <w:t xml:space="preserve">”</w:t>
      </w:r>
      <w:r>
        <w:t xml:space="preserve"> </w:t>
      </w:r>
      <w:r>
        <w:t xml:space="preserve">— an earlier version of this document did exactly that, and that single wrong sentence caused ~120 consecutive pages to be written without any Devanagari at all before it was caught. If you find yourself about to write a citation with only IAST, stop: that is the drift beginning.</w:t>
      </w:r>
      <w:r>
        <w:t xml:space="preserve"> </w:t>
      </w:r>
      <w:r>
        <w:rPr>
          <w:bCs/>
          <w:b/>
        </w:rPr>
        <w:t xml:space="preserve">This three-layer standard held for the entire remainder of the Bhumika (printed 544–593) after the audit-and-repair.</w:t>
      </w:r>
    </w:p>
    <w:p>
      <w:pPr>
        <w:pStyle w:val="BodyText"/>
      </w:pPr>
      <w:r>
        <w:rPr>
          <w:bCs/>
          <w:b/>
        </w:rPr>
        <w:t xml:space="preserve">2. Take the Kannada source at face value</w:t>
      </w:r>
      <w:r>
        <w:t xml:space="preserve"> </w:t>
      </w:r>
      <w:r>
        <w:t xml:space="preserve">— no default cross-verification against outside sources. (Exception: standardized/verifiable technical content like classical meter names — cross-checked once against Pingala’s prosody earlier in the project and caught a real error; worth repeating for other standardized reference material, not for one-off manuscript citations.)</w:t>
      </w:r>
    </w:p>
    <w:p>
      <w:pPr>
        <w:pStyle w:val="BodyText"/>
      </w:pPr>
      <w:r>
        <w:rPr>
          <w:bCs/>
          <w:b/>
        </w:rPr>
        <w:t xml:space="preserve">3. Preserve ALL Sanskrit, complete or incomplete, and all cross-references.</w:t>
      </w:r>
      <w:r>
        <w:t xml:space="preserve"> </w:t>
      </w:r>
      <w:r>
        <w:t xml:space="preserve">Never skip, summarize, or silently omit a citation. Flag illegibility/uncertainty explicitly rather than guessing silently.</w:t>
      </w:r>
    </w:p>
    <w:p>
      <w:pPr>
        <w:pStyle w:val="BodyText"/>
      </w:pPr>
      <w:r>
        <w:rPr>
          <w:bCs/>
          <w:b/>
        </w:rPr>
        <w:t xml:space="preserve">4. Honesty about uncertainty, calibrated by content type</w:t>
      </w:r>
      <w:r>
        <w:t xml:space="preserve"> </w:t>
      </w:r>
      <w:r>
        <w:t xml:space="preserve">— full confidence for clear prose;</w:t>
      </w:r>
      <w:r>
        <w:t xml:space="preserve"> </w:t>
      </w:r>
      <w:r>
        <w:t xml:space="preserve">“</w:t>
      </w:r>
      <w:r>
        <w:t xml:space="preserve">[?]</w:t>
      </w:r>
      <w:r>
        <w:t xml:space="preserve">”</w:t>
      </w:r>
      <w:r>
        <w:t xml:space="preserve"> </w:t>
      </w:r>
      <w:r>
        <w:t xml:space="preserve">/ bracketed hedges / italicized paraphrase-summaries for dense numeric/citation codes or heavily-compressed Sanskrit commentary; never fabricate a translation for something that can’t actually be parsed.</w:t>
      </w:r>
      <w:r>
        <w:t xml:space="preserve"> </w:t>
      </w:r>
      <w:r>
        <w:rPr>
          <w:bCs/>
          <w:b/>
        </w:rPr>
        <w:t xml:space="preserve">This standard was tested hard in the Shiksha/Vyakarana/Nirukta Anga stretch (printed 547–591)</w:t>
      </w:r>
      <w:r>
        <w:t xml:space="preserve"> </w:t>
      </w:r>
      <w:r>
        <w:t xml:space="preserve">— see item 12c below for the specific incident where the standard was briefly violated (a reconstruction presented with citation-level confidence) and the correction applied.</w:t>
      </w:r>
    </w:p>
    <w:p>
      <w:pPr>
        <w:pStyle w:val="BodyText"/>
      </w:pPr>
      <w:r>
        <w:rPr>
          <w:bCs/>
          <w:b/>
        </w:rPr>
        <w:t xml:space="preserve">5. CRITICAL — never pattern-complete Sanskrit from memory/rhythm; always view() the actual page image immediately before translating it.</w:t>
      </w:r>
      <w:r>
        <w:t xml:space="preserve"> </w:t>
      </w:r>
      <w:r>
        <w:t xml:space="preserve">Caught mid-project at PDF p.382 (an earlier session) and recurred as a near-miss around PDF 490s.</w:t>
      </w:r>
      <w:r>
        <w:t xml:space="preserve"> </w:t>
      </w:r>
      <w:r>
        <w:rPr>
          <w:bCs/>
          <w:b/>
        </w:rPr>
        <w:t xml:space="preserve">Standing rule: call view() on the specific page image immediately before writing that page’s translation, every single time, with no exceptions for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the footnote already told me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this looks like a well-known verse I recognize.</w:t>
      </w:r>
      <w:r>
        <w:rPr>
          <w:bCs/>
          <w:b/>
        </w:rPr>
        <w:t xml:space="preserve">”</w:t>
      </w:r>
      <w:r>
        <w:t xml:space="preserve"> </w:t>
      </w:r>
      <w:r>
        <w:t xml:space="preserve">The latter exception nearly caused real damage this session — see item 12c.</w:t>
      </w:r>
    </w:p>
    <w:p>
      <w:pPr>
        <w:pStyle w:val="BodyText"/>
      </w:pPr>
      <w:r>
        <w:rPr>
          <w:bCs/>
          <w:b/>
        </w:rPr>
        <w:t xml:space="preserve">6. No docx generation mid-stream — only when the user explicitly asks.</w:t>
      </w:r>
      <w:r>
        <w:t xml:space="preserve"> </w:t>
      </w:r>
      <w:r>
        <w:t xml:space="preserve">Regenerate via:</w:t>
      </w:r>
    </w:p>
    <w:p>
      <w:pPr>
        <w:pStyle w:val="SourceCode"/>
      </w:pPr>
      <w:r>
        <w:rPr>
          <w:rStyle w:val="VerbatimChar"/>
        </w:rPr>
        <w:t xml:space="preserve">pandoc "Rigveda_Samhita_Vol1_English_Translation.md" -o "Rigveda_Samhita_Vol1_English_Translation.docx" --toc --toc-depth=2 -V geometry:margin=1in -V mainfont="Noto Serif Devanagari"</w:t>
      </w:r>
    </w:p>
    <w:p>
      <w:pPr>
        <w:pStyle w:val="FirstParagraph"/>
      </w:pPr>
      <w:r>
        <w:rPr>
          <w:bCs/>
          <w:b/>
        </w:rPr>
        <w:t xml:space="preserve">Note the font change from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Noto Sans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to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Noto Serif Devanagari</w:t>
      </w:r>
      <w:r>
        <w:rPr>
          <w:bCs/>
          <w:b/>
        </w:rPr>
        <w:t xml:space="preserve">”</w:t>
      </w:r>
      <w:r>
        <w:t xml:space="preserve"> </w:t>
      </w:r>
      <w:r>
        <w:t xml:space="preserve">— made during the audit-and-repair session specifically so Devanagari renders correctly in the output; keep using this font going forward. Verify via LibreOffice PDF conversion + a Devanagari-character-count check (</w:t>
      </w:r>
      <w:r>
        <w:rPr>
          <w:rStyle w:val="VerbatimChar"/>
        </w:rPr>
        <w:t xml:space="preserve">grep -c</w:t>
      </w:r>
      <w:r>
        <w:t xml:space="preserve"> </w:t>
      </w:r>
      <w:r>
        <w:t xml:space="preserve">on the Unicode range</w:t>
      </w:r>
      <w:r>
        <w:t xml:space="preserve"> </w:t>
      </w:r>
      <w:r>
        <w:rPr>
          <w:rStyle w:val="VerbatimChar"/>
        </w:rPr>
        <w:t xml:space="preserve">\u0900-\u097F</w:t>
      </w:r>
      <w:r>
        <w:t xml:space="preserve">) before presenting, not just a page count — a docx can have the right page count while silently dropping Devanagari glyphs if the wrong font is used.</w:t>
      </w:r>
    </w:p>
    <w:p>
      <w:pPr>
        <w:pStyle w:val="BodyText"/>
      </w:pPr>
      <w:r>
        <w:rPr>
          <w:bCs/>
          <w:b/>
        </w:rPr>
        <w:t xml:space="preserve">7. Large embedded indices/tables:</w:t>
      </w:r>
      <w:r>
        <w:t xml:space="preserve"> </w:t>
      </w:r>
      <w:r>
        <w:t xml:space="preserve">flag to the user and ask how to handle rather than assuming full transcription or a skip.</w:t>
      </w:r>
    </w:p>
    <w:p>
      <w:pPr>
        <w:pStyle w:val="BodyText"/>
      </w:pPr>
      <w:r>
        <w:rPr>
          <w:bCs/>
          <w:b/>
        </w:rPr>
        <w:t xml:space="preserve">8. Progress-note pattern at the end of the .md file</w:t>
      </w:r>
      <w:r>
        <w:t xml:space="preserve"> </w:t>
      </w:r>
      <w:r>
        <w:t xml:space="preserve">— running block with exact PDF/printed page, one-line summary, full gaps list, pages-remaining countdown when a target is set. Update via the</w:t>
      </w:r>
      <w:r>
        <w:t xml:space="preserve"> </w:t>
      </w:r>
      <w:r>
        <w:rPr>
          <w:rStyle w:val="VerbatimChar"/>
        </w:rPr>
        <w:t xml:space="preserve">head -n -3</w:t>
      </w:r>
      <w:r>
        <w:t xml:space="preserve"> </w:t>
      </w:r>
      <w:r>
        <w:t xml:space="preserve">(strip trailing progress block) +</w:t>
      </w:r>
      <w:r>
        <w:t xml:space="preserve"> </w:t>
      </w:r>
      <w:r>
        <w:rPr>
          <w:rStyle w:val="VerbatimChar"/>
        </w:rPr>
        <w:t xml:space="preserve">cat &gt;&gt; ... &lt;&lt; 'ENDOFTEXT'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pattern; always end each append with a</w:t>
      </w:r>
      <w:r>
        <w:t xml:space="preserve"> </w:t>
      </w:r>
      <w:r>
        <w:rPr>
          <w:bCs/>
          <w:b/>
        </w:rPr>
        <w:t xml:space="preserve">fresh, separate</w:t>
      </w:r>
      <w:r>
        <w:t xml:space="preserve"> </w:t>
      </w:r>
      <w:r>
        <w:t xml:space="preserve">progress-note block appended afterward (two-step: content append, then progress-note append) so the block never gets accidentally absorbed into a heredoc.</w:t>
      </w:r>
      <w:r>
        <w:t xml:space="preserve"> </w:t>
      </w:r>
      <w:r>
        <w:rPr>
          <w:bCs/>
          <w:b/>
        </w:rPr>
        <w:t xml:space="preserve">Important:</w:t>
      </w:r>
      <w:r>
        <w:t xml:space="preserve"> </w:t>
      </w:r>
      <w:r>
        <w:t xml:space="preserve">each new progress note overwrites the previous one at the tail of the file — it does NOT accumulate. Any flag or note you want preserved long-term must be carried forward manually into each new progress note, or (better) promoted into this handoff document, which is the durable record.</w:t>
      </w:r>
    </w:p>
    <w:p>
      <w:pPr>
        <w:pStyle w:val="BodyText"/>
      </w:pPr>
      <w:r>
        <w:rPr>
          <w:bCs/>
          <w:b/>
        </w:rPr>
        <w:t xml:space="preserve">9. Scanning duplications are recurring in this source, not a one-off — SIX found total, all within the Bhumika’s first ~525 pages; none found in the printed 526–593 stretch covered this session.</w:t>
      </w:r>
      <w:r>
        <w:t xml:space="preserve"> </w:t>
      </w:r>
      <w:r>
        <w:t xml:space="preserve">Full list: PDF pp. 49–56 (dup of 41–48), PDF pp. 384–385 (dup of 382–383), PDF pp. 409–411 (dup of 408–409, a 3-page block), PDF p. 475 (dup of 474), and PDF pp. 508–509 (dup of 506–507, a 2-page block).</w:t>
      </w:r>
      <w:r>
        <w:t xml:space="preserve"> </w:t>
      </w:r>
      <w:r>
        <w:rPr>
          <w:bCs/>
          <w:b/>
        </w:rPr>
        <w:t xml:space="preserve">Always check the printed page number visible on each newly-rendered page against what was just translated</w:t>
      </w:r>
      <w:r>
        <w:t xml:space="preserve"> </w:t>
      </w:r>
      <w:r>
        <w:t xml:space="preserve">— if it repeats a page number already covered, it’s a scan duplicate: skip it, note it explicitly, and resume from the next genuinely new page.</w:t>
      </w:r>
    </w:p>
    <w:p>
      <w:pPr>
        <w:pStyle w:val="BodyText"/>
      </w:pPr>
      <w:r>
        <w:rPr>
          <w:bCs/>
          <w:b/>
        </w:rPr>
        <w:t xml:space="preserve">10. Pacing/acceleration tradeoffs — the correct lever, learned the hard way:</w:t>
      </w:r>
      <w:r>
        <w:t xml:space="preserve"> </w:t>
      </w:r>
      <w:r>
        <w:t xml:space="preserve">- Keep Sanskrit Devanagari + IAST + embedded English scholarly translation as the</w:t>
      </w:r>
      <w:r>
        <w:t xml:space="preserve"> </w:t>
      </w:r>
      <w:r>
        <w:rPr>
          <w:bCs/>
          <w:b/>
        </w:rPr>
        <w:t xml:space="preserve">three non-negotiable full-fidelity layers</w:t>
      </w:r>
      <w:r>
        <w:t xml:space="preserve"> </w:t>
      </w:r>
      <w:r>
        <w:t xml:space="preserve">— never trimmed, regardless of speed pressure.</w:t>
      </w:r>
      <w:r>
        <w:t xml:space="preserve"> </w:t>
      </w:r>
      <w:r>
        <w:t xml:space="preserve">- Trim Claude’s own connective/explanatory prose, not the citation layers, when asked to go faster.</w:t>
      </w:r>
      <w:r>
        <w:t xml:space="preserve"> </w:t>
      </w:r>
      <w:r>
        <w:t xml:space="preserve">- Batch size varies by explicit user request (</w:t>
      </w:r>
      <w:r>
        <w:t xml:space="preserve">“</w:t>
      </w:r>
      <w:r>
        <w:t xml:space="preserve">continue,</w:t>
      </w:r>
      <w:r>
        <w:t xml:space="preserve">”</w:t>
      </w:r>
      <w:r>
        <w:t xml:space="preserve"> </w:t>
      </w:r>
      <w:r>
        <w:t xml:space="preserve">“</w:t>
      </w:r>
      <w:r>
        <w:t xml:space="preserve">5 pages,</w:t>
      </w:r>
      <w:r>
        <w:t xml:space="preserve">”</w:t>
      </w:r>
      <w:r>
        <w:t xml:space="preserve"> </w:t>
      </w:r>
      <w:r>
        <w:t xml:space="preserve">“</w:t>
      </w:r>
      <w:r>
        <w:t xml:space="preserve">12 pages in one go</w:t>
      </w:r>
      <w:r>
        <w:t xml:space="preserve">”</w:t>
      </w:r>
      <w:r>
        <w:t xml:space="preserve">) — follow the stated batch size for that turn.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The genuine bottleneck is accuracy, not prose length or batch size.</w:t>
      </w:r>
      <w:r>
        <w:t xml:space="preserve"> </w:t>
      </w:r>
      <w:r>
        <w:t xml:space="preserve">Going faster should never mean reading the source image less carefully.</w:t>
      </w:r>
    </w:p>
    <w:p>
      <w:pPr>
        <w:pStyle w:val="BodyText"/>
      </w:pPr>
      <w:r>
        <w:rPr>
          <w:bCs/>
          <w:b/>
        </w:rPr>
        <w:t xml:space="preserve">11. Narrated, step-by-step working style</w:t>
      </w:r>
      <w:r>
        <w:t xml:space="preserve"> </w:t>
      </w:r>
      <w:r>
        <w:t xml:space="preserve">— established earlier in the project at the user’s request, then relaxed for throughput-focused sessions. Match whatever register the user is currently asking for; it doesn’t change the underlying accuracy standard.</w:t>
      </w:r>
    </w:p>
    <w:p>
      <w:pPr>
        <w:pStyle w:val="BodyText"/>
      </w:pPr>
      <w:r>
        <w:rPr>
          <w:bCs/>
          <w:b/>
        </w:rPr>
        <w:t xml:space="preserve">12. Sayana’s Bhashya-Bhumika is unusually rich, technical Mimamsa/Nyaya philosophy</w:t>
      </w:r>
      <w:r>
        <w:t xml:space="preserve"> </w:t>
      </w:r>
      <w:r>
        <w:t xml:space="preserve">in its first two-thirds (through roughly printed page 543), then shifts character: the final stretch (printed 544–593) covering the six Angas (Shiksha, Kalpa, Vyakarana, Nirukta, Chandas, Jyotisha) and the fourteen vidyāsthānas is denser with</w:t>
      </w:r>
      <w:r>
        <w:t xml:space="preserve"> </w:t>
      </w:r>
      <w:r>
        <w:rPr>
          <w:bCs/>
          <w:b/>
        </w:rPr>
        <w:t xml:space="preserve">short, quoted fragments</w:t>
      </w:r>
      <w:r>
        <w:t xml:space="preserve"> </w:t>
      </w:r>
      <w:r>
        <w:t xml:space="preserve">(Mahabhashya snippets, Nirukta example-citations, isolated mantra-quarters) rather than continuous dialectical prose. This fragment-heavy style is genuinely harder to transcribe reliably than the purva-paksha/siddhanta argumentative sections — see item 12c.</w:t>
      </w:r>
    </w:p>
    <w:p>
      <w:pPr>
        <w:pStyle w:val="BodyText"/>
      </w:pPr>
      <w:r>
        <w:rPr>
          <w:bCs/>
          <w:b/>
        </w:rPr>
        <w:t xml:space="preserve">12b. KNOWN OUTSTANDING REPAIRS — read before resuming, in priority order.</w:t>
      </w:r>
    </w:p>
    <w:p>
      <w:pPr>
        <w:pStyle w:val="BodyText"/>
      </w:pPr>
      <w:r>
        <w:rPr>
          <w:iCs/>
          <w:i/>
        </w:rPr>
        <w:t xml:space="preserve">Devanagari/format repairs (from the first audit, printed pages ~423–543):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Duplicate block, FIXED but unverified:</w:t>
      </w:r>
      <w:r>
        <w:t xml:space="preserve"> </w:t>
      </w:r>
      <w:r>
        <w:t xml:space="preserve">printed pages 469–478 appeared twice as two different translations; the better-formatted one was kept. They disagreed on a sutra citation range.</w:t>
      </w:r>
      <w:r>
        <w:t xml:space="preserve"> </w:t>
      </w:r>
      <w:r>
        <w:rPr>
          <w:bCs/>
          <w:b/>
        </w:rPr>
        <w:t xml:space="preserve">Verify printed page 469 against the source image first</w:t>
      </w:r>
      <w:r>
        <w:t xml:space="preserve">, before anything else in this list.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256 citations, mechanically converted IAST→Devanagari, UNVERIFIED:</w:t>
      </w:r>
      <w:r>
        <w:t xml:space="preserve"> </w:t>
      </w:r>
      <w:r>
        <w:t xml:space="preserve">this was a script conversion of previously-written text, not a re-reading of the source. Any pre-existing error is now dressed up in Devanagari and looks more authoritative than before. The converter’s handling of Vedic</w:t>
      </w:r>
      <w:r>
        <w:t xml:space="preserve"> </w:t>
      </w:r>
      <w:r>
        <w:rPr>
          <w:rStyle w:val="VerbatimChar"/>
        </w:rPr>
        <w:t xml:space="preserve">ḷa</w:t>
      </w:r>
      <w:r>
        <w:t xml:space="preserve"> </w:t>
      </w:r>
      <w:r>
        <w:t xml:space="preserve">was patched but the ~6 affected spots deserve a look. Sutra-name headings were deliberately left IAST-only; decide later whether to convert them too.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148 numbered pages with no Sanskrit at all, DEFERRED BY USER:</w:t>
      </w:r>
      <w:r>
        <w:t xml:space="preserve"> </w:t>
      </w:r>
      <w:r>
        <w:t xml:space="preserve">the source had citations here and the translation paraphrased instead of quoting. Requires re-reading source images; no shortcut. Full page list is preserved in the project’s memory/prior handoff versions — if this list is needed again, it can be regenerated by scanning the .md for numbered</w:t>
      </w:r>
      <w:r>
        <w:t xml:space="preserve"> </w:t>
      </w:r>
      <w:r>
        <w:rPr>
          <w:rStyle w:val="VerbatimChar"/>
        </w:rPr>
        <w:t xml:space="preserve">### Page N</w:t>
      </w:r>
      <w:r>
        <w:t xml:space="preserve"> </w:t>
      </w:r>
      <w:r>
        <w:t xml:space="preserve">sections containing zero characters in the Devanagari Unicode range.</w:t>
      </w:r>
    </w:p>
    <w:p>
      <w:pPr>
        <w:pStyle w:val="BodyText"/>
      </w:pPr>
      <w:r>
        <w:rPr>
          <w:iCs/>
          <w:i/>
        </w:rPr>
        <w:t xml:space="preserve">New from this session’s Anga-stretch (printed 547–593) — genuinely lower-confidence citations, not yet checked against source images, roughly in descending priority: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559</w:t>
      </w:r>
      <w:r>
        <w:t xml:space="preserve"> </w:t>
      </w:r>
      <w:r>
        <w:t xml:space="preserve">(Mahabhashya on Grammar’s four purposes) — presented as a citation but reconstructed from fragmentary, disconnected Sanskrit snippets in the source. Themes are solid (they match the clear embedded English footnote and the well-known real Mahabhashya passage); exact wording is not verified.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576</w:t>
      </w:r>
      <w:r>
        <w:t xml:space="preserve"> </w:t>
      </w:r>
      <w:r>
        <w:t xml:space="preserve">— see item 12c below; downgraded after page 578 independently confirmed the content, but a source-image glance is still worthwhile for peace of mind.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552</w:t>
      </w:r>
      <w:r>
        <w:t xml:space="preserve"> </w:t>
      </w:r>
      <w:r>
        <w:t xml:space="preserve">(Tvashtri/indraśatru narrative from Taittiriya Samhita) — reconstructed from a dense, compressed passage.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555</w:t>
      </w:r>
      <w:r>
        <w:t xml:space="preserve"> </w:t>
      </w:r>
      <w:r>
        <w:t xml:space="preserve">(two mid-page citations on Ashvalayana’s ordering) — reconstructed.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556, 566, 569, 571, 572, 582, 589, 592</w:t>
      </w:r>
      <w:r>
        <w:t xml:space="preserve"> </w:t>
      </w:r>
      <w:r>
        <w:t xml:space="preserve">— each has at least one citation flagged inline in the .md as reconstructed or lower-confidence rather than a confirmed transcription. Search the .md for the phrase</w:t>
      </w:r>
      <w:r>
        <w:t xml:space="preserve"> </w:t>
      </w:r>
      <w:r>
        <w:t xml:space="preserve">“</w:t>
      </w:r>
      <w:r>
        <w:t xml:space="preserve">lower confidence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reconstructed</w:t>
      </w:r>
      <w:r>
        <w:t xml:space="preserve">”</w:t>
      </w:r>
      <w:r>
        <w:t xml:space="preserve"> </w:t>
      </w:r>
      <w:r>
        <w:t xml:space="preserve">to find them all quickly (there are roughly a dozen such spots across this stretch).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Page 550</w:t>
      </w:r>
      <w:r>
        <w:t xml:space="preserve"> </w:t>
      </w:r>
      <w:r>
        <w:t xml:space="preserve">— the letter-by-letter accent classification (which syllables of the opening Rigveda verse carry which accent mark) involved reading very small diacritics in a compressed scan.</w:t>
      </w:r>
    </w:p>
    <w:p>
      <w:pPr>
        <w:pStyle w:val="BodyText"/>
      </w:pPr>
      <w:r>
        <w:rPr>
          <w:iCs/>
          <w:i/>
        </w:rPr>
        <w:t xml:space="preserve">Still outstanding from early in the project:</w:t>
      </w:r>
      <w:r>
        <w:t xml:space="preserve"> </w:t>
      </w:r>
      <w:r>
        <w:t xml:space="preserve">- A full re-verification pass across PDF pages 1–171 for Sanskrit citations possibly under-transcribed before the</w:t>
      </w:r>
      <w:r>
        <w:t xml:space="preserve"> </w:t>
      </w:r>
      <w:r>
        <w:t xml:space="preserve">“</w:t>
      </w:r>
      <w:r>
        <w:t xml:space="preserve">retain ALL Sanskrit</w:t>
      </w:r>
      <w:r>
        <w:t xml:space="preserve">”</w:t>
      </w:r>
      <w:r>
        <w:t xml:space="preserve"> </w:t>
      </w:r>
      <w:r>
        <w:t xml:space="preserve">rule was established. Not resurfaced by the user recently; still technically open.</w:t>
      </w:r>
    </w:p>
    <w:p>
      <w:pPr>
        <w:pStyle w:val="BodyText"/>
      </w:pPr>
      <w:r>
        <w:rPr>
          <w:bCs/>
          <w:b/>
        </w:rPr>
        <w:t xml:space="preserve">12c. INCIDENT RECORD — presenting a reconstruction as a confident citation (printed page 576).</w:t>
      </w:r>
      <w:r>
        <w:t xml:space="preserve"> </w:t>
      </w:r>
      <w:r>
        <w:t xml:space="preserve">During a fast-paced batch, a multi-line Sanskrit verse was written in bold with citation-style formatting, implying direct transcription from the source image. In fact, given the source’s density at that point, the verse was inferred from surrounding context (the known Naighantuka/Naigama/Daivata three-part structure) rather than read with genuine confidence. This is a different and more serious failure than a hedged low-confidence citation — it is presenting an inference</w:t>
      </w:r>
      <w:r>
        <w:t xml:space="preserve"> </w:t>
      </w:r>
      <w:r>
        <w:rPr>
          <w:iCs/>
          <w:i/>
        </w:rPr>
        <w:t xml:space="preserve">as if</w:t>
      </w:r>
      <w:r>
        <w:t xml:space="preserve"> </w:t>
      </w:r>
      <w:r>
        <w:t xml:space="preserve">it were a reading. It was flagged to the user immediately in the same session, and two pages later (printed 578) the same verse appeared clearly and confirmed the reconstruction was accurate — so no textual correction was ultimately needed, but the process failure stands on its own and should not recur.</w:t>
      </w:r>
      <w:r>
        <w:t xml:space="preserve"> </w:t>
      </w:r>
      <w:r>
        <w:rPr>
          <w:bCs/>
          <w:b/>
        </w:rPr>
        <w:t xml:space="preserve">The rule this incident reinforces: formatting confidence (bold, citation-style presentation) must never exceed actual reading confidence, regardless of how well-known or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guessable</w:t>
      </w:r>
      <w:r>
        <w:rPr>
          <w:bCs/>
          <w:b/>
        </w:rPr>
        <w:t xml:space="preserve">”</w:t>
      </w:r>
      <w:r>
        <w:rPr>
          <w:bCs/>
          <w:b/>
        </w:rPr>
        <w:t xml:space="preserve"> </w:t>
      </w:r>
      <w:r>
        <w:rPr>
          <w:bCs/>
          <w:b/>
        </w:rPr>
        <w:t xml:space="preserve">a verse seems.</w:t>
      </w:r>
      <w:r>
        <w:t xml:space="preserve"> </w:t>
      </w:r>
      <w:r>
        <w:t xml:space="preserve">When genuinely unsure, use the hedging patterns from item 4 (bracketed</w:t>
      </w:r>
      <w:r>
        <w:t xml:space="preserve"> </w:t>
      </w:r>
      <w:r>
        <w:t xml:space="preserve">“</w:t>
      </w:r>
      <w:r>
        <w:t xml:space="preserve">[?]</w:t>
      </w:r>
      <w:r>
        <w:t xml:space="preserve">”</w:t>
      </w:r>
      <w:r>
        <w:t xml:space="preserve">, italicized function-description) rather than a clean bolded citation.</w:t>
      </w:r>
    </w:p>
    <w:p>
      <w:pPr>
        <w:pStyle w:val="BodyText"/>
      </w:pPr>
      <w:r>
        <w:rPr>
          <w:bCs/>
          <w:b/>
        </w:rPr>
        <w:t xml:space="preserve">13. This document itself</w:t>
      </w:r>
      <w:r>
        <w:t xml:space="preserve"> </w:t>
      </w:r>
      <w:r>
        <w:t xml:space="preserve">should be regenerated whenever the user asks to update the requirements/handoff doc, or whenever a milestone (like this one) is reached — don’t wait to be asked if the doc has clearly gone stale relative to the .md.</w:t>
      </w:r>
    </w:p>
    <w:p>
      <w:r>
        <w:pict>
          <v:rect style="width:0;height:1.5pt" o:hralign="center" o:hrstd="t" o:hr="t"/>
        </w:pict>
      </w:r>
    </w:p>
    <w:bookmarkEnd w:id="20"/>
    <w:bookmarkStart w:id="21" w:name="major-milestones-full-project-arc"/>
    <w:p>
      <w:pPr>
        <w:pStyle w:val="Heading2"/>
      </w:pPr>
      <w:r>
        <w:t xml:space="preserve">Major milestones — full project arc</w:t>
      </w:r>
    </w:p>
    <w:p>
      <w:pPr>
        <w:pStyle w:val="FirstParagraph"/>
      </w:pPr>
      <w:r>
        <w:t xml:space="preserve">This section is cumulative; earlier milestones from before this handoff’s predecessor are preserved here since the Bhumika is now finished and this is the complete map of what it contains.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Mantrarthavada adhikarana</w:t>
      </w:r>
      <w:r>
        <w:t xml:space="preserve"> </w:t>
      </w:r>
      <w:r>
        <w:t xml:space="preserve">(~PDF 376–465) — all 9 objections to whether mantras convey meaning, plus resolutions, including the</w:t>
      </w:r>
      <w:r>
        <w:t xml:space="preserve"> </w:t>
      </w:r>
      <w:r>
        <w:t xml:space="preserve">“</w:t>
      </w:r>
      <w:r>
        <w:t xml:space="preserve">four-horned bull</w:t>
      </w:r>
      <w:r>
        <w:t xml:space="preserve">”</w:t>
      </w:r>
      <w:r>
        <w:t xml:space="preserve"> </w:t>
      </w:r>
      <w:r>
        <w:t xml:space="preserve">allegory and the</w:t>
      </w:r>
      <w:r>
        <w:t xml:space="preserve"> </w:t>
      </w:r>
      <w:r>
        <w:t xml:space="preserve">“</w:t>
      </w:r>
      <w:r>
        <w:t xml:space="preserve">jarbhari turpharitu</w:t>
      </w:r>
      <w:r>
        <w:t xml:space="preserve">”</w:t>
      </w:r>
      <w:r>
        <w:t xml:space="preserve"> </w:t>
      </w:r>
      <w:r>
        <w:t xml:space="preserve">Nirukta-based resolution.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Vidhi-authority adhikarana</w:t>
      </w:r>
      <w:r>
        <w:t xml:space="preserve"> </w:t>
      </w:r>
      <w:r>
        <w:t xml:space="preserve">(~PDF 465–466) — is the Brahmana’s injunctive portion authoritative? Resolved yes, via Jaimini’s sutras (1.1.2, 1.1.5) and Badarayana’s parallel move (śāstra-yonitvāt).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Arthavada-authority adhikarana</w:t>
      </w:r>
      <w:r>
        <w:t xml:space="preserve"> </w:t>
      </w:r>
      <w:r>
        <w:t xml:space="preserve">(~PDF 466–491) — full six-part objection and resolution via</w:t>
      </w:r>
      <w:r>
        <w:t xml:space="preserve"> </w:t>
      </w:r>
      <w:r>
        <w:t xml:space="preserve">“</w:t>
      </w:r>
      <w:r>
        <w:t xml:space="preserve">eka-vākyatā.</w:t>
      </w:r>
      <w:r>
        <w:t xml:space="preserve">”</w:t>
      </w:r>
      <w:r>
        <w:t xml:space="preserve"> </w:t>
      </w:r>
      <w:r>
        <w:t xml:space="preserve">This is where the</w:t>
      </w:r>
      <w:r>
        <w:t xml:space="preserve"> </w:t>
      </w:r>
      <w:r>
        <w:t xml:space="preserve">“</w:t>
      </w:r>
      <w:r>
        <w:t xml:space="preserve">Rudra wept</w:t>
      </w:r>
      <w:r>
        <w:t xml:space="preserve">”</w:t>
      </w:r>
      <w:r>
        <w:t xml:space="preserve"> </w:t>
      </w:r>
      <w:r>
        <w:t xml:space="preserve">passage (PDF 471/printed 445) was resolved as a figurative pun, not literal truth.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Apauruṣeyatva debate</w:t>
      </w:r>
      <w:r>
        <w:t xml:space="preserve"> </w:t>
      </w:r>
      <w:r>
        <w:t xml:space="preserve">(~PDF 491–501) — is the Veda of human or non-human origin? The Kathaka/Kauthama naming argument, the</w:t>
      </w:r>
      <w:r>
        <w:t xml:space="preserve"> </w:t>
      </w:r>
      <w:r>
        <w:t xml:space="preserve">“</w:t>
      </w:r>
      <w:r>
        <w:t xml:space="preserve">Babara</w:t>
      </w:r>
      <w:r>
        <w:t xml:space="preserve">”</w:t>
      </w:r>
      <w:r>
        <w:t xml:space="preserve"> </w:t>
      </w:r>
      <w:r>
        <w:t xml:space="preserve">wind-onomatopoeia resolution, the</w:t>
      </w:r>
      <w:r>
        <w:t xml:space="preserve"> </w:t>
      </w:r>
      <w:r>
        <w:t xml:space="preserve">“</w:t>
      </w:r>
      <w:r>
        <w:t xml:space="preserve">no human could foresee ritual-to-heaven causation</w:t>
      </w:r>
      <w:r>
        <w:t xml:space="preserve">”</w:t>
      </w:r>
      <w:r>
        <w:t xml:space="preserve"> </w:t>
      </w:r>
      <w:r>
        <w:t xml:space="preserve">argument.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Mantra/Brahmana definitional adhikaranas</w:t>
      </w:r>
      <w:r>
        <w:t xml:space="preserve"> </w:t>
      </w:r>
      <w:r>
        <w:t xml:space="preserve">(~PDF 502–514) — resolved via practical, usage-based definition; nine-category Brahmana taxonomy; Itihasa/Purana/Kalpa/Gatha confirmed as Brahmana sub-varieties.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Rik/Sama/Yajus threefold classification</w:t>
      </w:r>
      <w:r>
        <w:t xml:space="preserve"> </w:t>
      </w:r>
      <w:r>
        <w:t xml:space="preserve">(~PDF 514–517) — metrical padas / sung form / unmetered prose.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Obligatory Vedic study</w:t>
      </w:r>
      <w:r>
        <w:t xml:space="preserve"> </w:t>
      </w:r>
      <w:r>
        <w:t xml:space="preserve">(~PDF 518–543) — nitya vs. kamya karma; the Prabhakara/Kumarila historical split; the long argument that Vedic study’s purpose includes genuine meaning-comprehension, not mere memorization, closing with the Chandogya</w:t>
      </w:r>
      <w:r>
        <w:t xml:space="preserve"> </w:t>
      </w:r>
      <w:r>
        <w:t xml:space="preserve">“</w:t>
      </w:r>
      <w:r>
        <w:t xml:space="preserve">vidya vs. avidya</w:t>
      </w:r>
      <w:r>
        <w:t xml:space="preserve">”</w:t>
      </w:r>
      <w:r>
        <w:t xml:space="preserve"> </w:t>
      </w:r>
      <w:r>
        <w:t xml:space="preserve">text and the Vajasaneyin text on knowledge following the soul after death.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anubandha-chatushtaya</w:t>
      </w:r>
      <w:r>
        <w:t xml:space="preserve"> </w:t>
      </w:r>
      <w:r>
        <w:t xml:space="preserve">(~PDF 540–546) — the four traditional preliminaries (subject, purpose, relation, qualified persons) applied to both the commentary and the Veda itself; dharma and brahma established as the Veda’s two subjects via the</w:t>
      </w:r>
      <w:r>
        <w:t xml:space="preserve"> </w:t>
      </w:r>
      <w:r>
        <w:t xml:space="preserve">“</w:t>
      </w:r>
      <w:r>
        <w:t xml:space="preserve">not cognizable by perception or inference</w:t>
      </w:r>
      <w:r>
        <w:t xml:space="preserve">”</w:t>
      </w:r>
      <w:r>
        <w:t xml:space="preserve"> </w:t>
      </w:r>
      <w:r>
        <w:t xml:space="preserve">argument.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six Angas, in full</w:t>
      </w:r>
      <w:r>
        <w:t xml:space="preserve"> </w:t>
      </w:r>
      <w:r>
        <w:t xml:space="preserve">(~PDF 547–584):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Shiksha</w:t>
      </w:r>
      <w:r>
        <w:t xml:space="preserve"> </w:t>
      </w:r>
      <w:r>
        <w:t xml:space="preserve">(phonetics) — varna, svara, matra, bala, sama, santana; the opening Rigveda verse with accent marks; the</w:t>
      </w:r>
      <w:r>
        <w:t xml:space="preserve"> </w:t>
      </w:r>
      <w:r>
        <w:t xml:space="preserve">“</w:t>
      </w:r>
      <w:r>
        <w:t xml:space="preserve">indraśatru</w:t>
      </w:r>
      <w:r>
        <w:t xml:space="preserve">”</w:t>
      </w:r>
      <w:r>
        <w:t xml:space="preserve"> </w:t>
      </w:r>
      <w:r>
        <w:t xml:space="preserve">mis-accentuation cautionary tale (Tvashtri’s son destroyed by his own mispronounced yajna).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Kalpa</w:t>
      </w:r>
      <w:r>
        <w:t xml:space="preserve"> </w:t>
      </w:r>
      <w:r>
        <w:t xml:space="preserve">(ritual procedure) — Ashvalayana/Apastamba/Baudhayana; resolved via</w:t>
      </w:r>
      <w:r>
        <w:t xml:space="preserve"> </w:t>
      </w:r>
      <w:r>
        <w:t xml:space="preserve">“</w:t>
      </w:r>
      <w:r>
        <w:t xml:space="preserve">guṇopasaṃhāra-nyāya</w:t>
      </w:r>
      <w:r>
        <w:t xml:space="preserve">”</w:t>
      </w:r>
      <w:r>
        <w:t xml:space="preserve"> </w:t>
      </w:r>
      <w:r>
        <w:t xml:space="preserve">why ritual-order, not Samhita-order, governs the Kalpa-sutras.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Vyakarana</w:t>
      </w:r>
      <w:r>
        <w:t xml:space="preserve"> </w:t>
      </w:r>
      <w:r>
        <w:t xml:space="preserve">(grammar) — the Indra/Vayu myth of Speech’s division; Vararuchi’s four purposes (rakṣā, ūha, āgama, lāghava, sandeha-removal); Brihaspati’s failed thousand-year word-by-word attempt to teach Indra; the</w:t>
      </w:r>
      <w:r>
        <w:t xml:space="preserve"> </w:t>
      </w:r>
      <w:r>
        <w:t xml:space="preserve">“</w:t>
      </w:r>
      <w:r>
        <w:t xml:space="preserve">gauḥ</w:t>
      </w:r>
      <w:r>
        <w:t xml:space="preserve">”</w:t>
      </w:r>
      <w:r>
        <w:t xml:space="preserve"> </w:t>
      </w:r>
      <w:r>
        <w:t xml:space="preserve">corrupted-forms example; the four-horned-bull verse reinterpreted grammatically (four horns = word-classes, etc.).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Nirukta</w:t>
      </w:r>
      <w:r>
        <w:t xml:space="preserve"> </w:t>
      </w:r>
      <w:r>
        <w:t xml:space="preserve">(etymology) — the Naighantuka/Naigama/Daivata three-fold structure; the</w:t>
      </w:r>
      <w:r>
        <w:t xml:space="preserve"> </w:t>
      </w:r>
      <w:r>
        <w:t xml:space="preserve">“</w:t>
      </w:r>
      <w:r>
        <w:t xml:space="preserve">na</w:t>
      </w:r>
      <w:r>
        <w:t xml:space="preserve">”</w:t>
      </w:r>
      <w:r>
        <w:t xml:space="preserve"> </w:t>
      </w:r>
      <w:r>
        <w:t xml:space="preserve">particle’s double meaning; Indra/Prithivi etymologies grounded in Brahmana citations.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Chandas</w:t>
      </w:r>
      <w:r>
        <w:t xml:space="preserve"> </w:t>
      </w:r>
      <w:r>
        <w:t xml:space="preserve">(metrics) — the seven-meter progression (Gayatri 24 syllables through Jagati, +4 each); caste-specific meter assignments; the warning that performing a yajna with an unknown rishi/chandas/devata causes the performer to</w:t>
      </w:r>
      <w:r>
        <w:t xml:space="preserve"> </w:t>
      </w:r>
      <w:r>
        <w:t xml:space="preserve">“</w:t>
      </w:r>
      <w:r>
        <w:t xml:space="preserve">stumble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fall into a well.</w:t>
      </w:r>
      <w:r>
        <w:t xml:space="preserve">”</w:t>
      </w:r>
    </w:p>
    <w:p>
      <w:pPr>
        <w:numPr>
          <w:ilvl w:val="1"/>
          <w:numId w:val="1002"/>
        </w:numPr>
        <w:pStyle w:val="Compact"/>
      </w:pPr>
      <w:r>
        <w:rPr>
          <w:bCs/>
          <w:b/>
        </w:rPr>
        <w:t xml:space="preserve">Jyotisha</w:t>
      </w:r>
      <w:r>
        <w:t xml:space="preserve"> </w:t>
      </w:r>
      <w:r>
        <w:t xml:space="preserve">(astronomy) — time-determination for sacrifices; seasonal Agnyadhana rules (spring/Brahmin, summer/Kshatriya, autumn/Vaishya).</w:t>
      </w:r>
    </w:p>
    <w:p>
      <w:pPr>
        <w:numPr>
          <w:ilvl w:val="1"/>
          <w:numId w:val="1002"/>
        </w:numPr>
        <w:pStyle w:val="Compact"/>
      </w:pPr>
      <w:r>
        <w:t xml:space="preserve">Closes with the famous verse comparing the six Angas to the Veda’s own body (Chandas=feet, Kalpa=hands, Jyotisha=eye, Nirukta=ear, Shiksha=nose, Vyakarana=face).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The fourteen vidyāsthānas</w:t>
      </w:r>
      <w:r>
        <w:t xml:space="preserve"> </w:t>
      </w:r>
      <w:r>
        <w:t xml:space="preserve">(~PDF 585–588) — four Vedas + six Angas + Puranas + Nyaya + Mimamsa + Dharma-shastra; the</w:t>
      </w:r>
      <w:r>
        <w:t xml:space="preserve"> </w:t>
      </w:r>
      <w:r>
        <w:t xml:space="preserve">“</w:t>
      </w:r>
      <w:r>
        <w:t xml:space="preserve">itihasa-purana strengthens the Veda</w:t>
      </w:r>
      <w:r>
        <w:t xml:space="preserve">”</w:t>
      </w:r>
      <w:r>
        <w:t xml:space="preserve"> </w:t>
      </w:r>
      <w:r>
        <w:t xml:space="preserve">verse; the five-fold Purana definition (sarga, pratisarga, vamsha, manvantara, vamshanucharita); Yaska’s four verses on who is worthy to receive Vidya, personified as a goddess who begs her teacher-guardian to protect her from unworthy students.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Formal close</w:t>
      </w:r>
      <w:r>
        <w:t xml:space="preserve"> </w:t>
      </w:r>
      <w:r>
        <w:t xml:space="preserve">(PDF 621/printed 593) — the Sanskrit colophon and</w:t>
      </w:r>
      <w:r>
        <w:t xml:space="preserve"> </w:t>
      </w:r>
      <w:r>
        <w:t xml:space="preserve">“</w:t>
      </w:r>
      <w:r>
        <w:t xml:space="preserve">śrī rastu</w:t>
      </w:r>
      <w:r>
        <w:t xml:space="preserve">”</w:t>
      </w:r>
      <w:r>
        <w:t xml:space="preserve"> </w:t>
      </w:r>
      <w:r>
        <w:t xml:space="preserve">blessing; PDF 622 is a decorative Ganesha illustration.</w:t>
      </w:r>
    </w:p>
    <w:p>
      <w:r>
        <w:pict>
          <v:rect style="width:0;height:1.5pt" o:hralign="center" o:hrstd="t" o:hr="t"/>
        </w:pict>
      </w:r>
    </w:p>
    <w:bookmarkEnd w:id="21"/>
    <w:bookmarkStart w:id="22" w:name="X4ed47a642ba2e9a56d87b9c70adbeb5f4c57282"/>
    <w:p>
      <w:pPr>
        <w:pStyle w:val="Heading2"/>
      </w:pPr>
      <w:r>
        <w:t xml:space="preserve">Known gaps and duplications in the translation (all deliberate or documented)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17–24</w:t>
      </w:r>
      <w:r>
        <w:t xml:space="preserve"> </w:t>
      </w:r>
      <w:r>
        <w:t xml:space="preserve">— missing from the source scan itself.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49–56</w:t>
      </w:r>
      <w:r>
        <w:t xml:space="preserve"> </w:t>
      </w:r>
      <w:r>
        <w:t xml:space="preserve">— exact duplicate of pp. 41–48.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119–191</w:t>
      </w:r>
      <w:r>
        <w:t xml:space="preserve"> </w:t>
      </w:r>
      <w:r>
        <w:t xml:space="preserve">— Chapters 6–8 skipped entirely at user’s explicit request.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215–229</w:t>
      </w:r>
      <w:r>
        <w:t xml:space="preserve"> </w:t>
      </w:r>
      <w:r>
        <w:t xml:space="preserve">— 15-page alphabetical rishi-index; noted in structure, not transcribed, per user’s choice.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285–307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PDF pp. 312–319</w:t>
      </w:r>
      <w:r>
        <w:t xml:space="preserve"> </w:t>
      </w:r>
      <w:r>
        <w:t xml:space="preserve">— skipped per user’s explicit</w:t>
      </w:r>
      <w:r>
        <w:t xml:space="preserve"> </w:t>
      </w:r>
      <w:r>
        <w:t xml:space="preserve">“</w:t>
      </w:r>
      <w:r>
        <w:t xml:space="preserve">skip to page X</w:t>
      </w:r>
      <w:r>
        <w:t xml:space="preserve">”</w:t>
      </w:r>
      <w:r>
        <w:t xml:space="preserve"> </w:t>
      </w:r>
      <w:r>
        <w:t xml:space="preserve">instructions.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384–385</w:t>
      </w:r>
      <w:r>
        <w:t xml:space="preserve"> </w:t>
      </w:r>
      <w:r>
        <w:t xml:space="preserve">— duplicate scan, material already covered via PDF pp. 408–409.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409–411</w:t>
      </w:r>
      <w:r>
        <w:t xml:space="preserve"> </w:t>
      </w:r>
      <w:r>
        <w:t xml:space="preserve">— duplicate scan re-covering the same material a second time (3-page block).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p. 475</w:t>
      </w:r>
      <w:r>
        <w:t xml:space="preserve"> </w:t>
      </w:r>
      <w:r>
        <w:t xml:space="preserve">— duplicate scan of printed page 449, already covered via PDF p. 474.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PDF pp. 508–509</w:t>
      </w:r>
      <w:r>
        <w:t xml:space="preserve"> </w:t>
      </w:r>
      <w:r>
        <w:t xml:space="preserve">— duplicate scan of printed pages 480–481, already covered via PDF pp. 506–507.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 printed-page numbering skip</w:t>
      </w:r>
      <w:r>
        <w:t xml:space="preserve"> </w:t>
      </w:r>
      <w:r>
        <w:t xml:space="preserve">around PDF pp. 472–473 (printed 446 → 448) — likely a numbering quirk, no logical discontinuity detected.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scanning duplicates found in printed pages 494–593</w:t>
      </w:r>
      <w:r>
        <w:t xml:space="preserve"> </w:t>
      </w:r>
      <w:r>
        <w:t xml:space="preserve">(PDF ~522–621) — the back half of the Bhumika had a cleaner scan than the front half.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Outstanding, deferred by user:</w:t>
      </w:r>
      <w:r>
        <w:t xml:space="preserve"> </w:t>
      </w:r>
      <w:r>
        <w:t xml:space="preserve">full re-verification pass across pages 1–171 for possibly under-transcribed Sanskrit citations from before the</w:t>
      </w:r>
      <w:r>
        <w:t xml:space="preserve"> </w:t>
      </w:r>
      <w:r>
        <w:t xml:space="preserve">“</w:t>
      </w:r>
      <w:r>
        <w:t xml:space="preserve">retain ALL Sanskrit</w:t>
      </w:r>
      <w:r>
        <w:t xml:space="preserve">”</w:t>
      </w:r>
      <w:r>
        <w:t xml:space="preserve"> </w:t>
      </w:r>
      <w:r>
        <w:t xml:space="preserve">rule was established.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See section 12b above</w:t>
      </w:r>
      <w:r>
        <w:t xml:space="preserve"> </w:t>
      </w:r>
      <w:r>
        <w:t xml:space="preserve">for the full, current list of lower-confidence citations needing a source-image check — this list is now substantial (~15 items) and concentrated in the Anga stretch (printed 547–591).</w:t>
      </w:r>
    </w:p>
    <w:p>
      <w:r>
        <w:pict>
          <v:rect style="width:0;height:1.5pt" o:hralign="center" o:hrstd="t" o:hr="t"/>
        </w:pict>
      </w:r>
    </w:p>
    <w:bookmarkEnd w:id="22"/>
    <w:bookmarkStart w:id="23" w:name="X5a3c28eddff3ec6c924c771d2c63561d197c1a6"/>
    <w:p>
      <w:pPr>
        <w:pStyle w:val="Heading2"/>
      </w:pPr>
      <w:r>
        <w:t xml:space="preserve">Content map (PDF 1–622, complete for the Bhumika)</w:t>
      </w:r>
    </w:p>
    <w:p>
      <w:pPr>
        <w:pStyle w:val="FirstParagraph"/>
      </w:pPr>
      <w:r>
        <w:rPr>
          <w:bCs/>
          <w:b/>
        </w:rPr>
        <w:t xml:space="preserve">PDF 1–368 / printed 1–344:</w:t>
      </w:r>
      <w:r>
        <w:t xml:space="preserve"> </w:t>
      </w:r>
      <w:r>
        <w:t xml:space="preserve">Front matter and the main Kannada scholarly treatise — Vedas’ nature/divisions, shakhas, Brahmanas/Aranyakas, rishis, deities, meters, commentator history, oral recitation mechanics, Western Indology, Veda-study methodology, an earlier general-audience apaurusheyatva discussion (distinct from the formal Mimamsa debate later on), Rigveda’s own doctrine, Vedic-era social life, Rigvedic grammar, and the full</w:t>
      </w:r>
      <w:r>
        <w:t xml:space="preserve"> </w:t>
      </w:r>
      <w:r>
        <w:t xml:space="preserve">“</w:t>
      </w:r>
      <w:r>
        <w:t xml:space="preserve">Age of the Vedas</w:t>
      </w:r>
      <w:r>
        <w:t xml:space="preserve">”</w:t>
      </w:r>
      <w:r>
        <w:t xml:space="preserve"> </w:t>
      </w:r>
      <w:r>
        <w:t xml:space="preserve">dating chapter.</w:t>
      </w:r>
    </w:p>
    <w:p>
      <w:pPr>
        <w:pStyle w:val="BodyText"/>
      </w:pPr>
      <w:r>
        <w:rPr>
          <w:bCs/>
          <w:b/>
        </w:rPr>
        <w:t xml:space="preserve">PDF 369–621 / printed 345–593: Sayana’s Rigveda-Bhashya-Bhumika (now complete).</w:t>
      </w:r>
      <w:r>
        <w:t xml:space="preserve"> </w:t>
      </w:r>
      <w:r>
        <w:t xml:space="preserve">- Mangalacharana invocations; King Bukka/Madhavacharya/Sayana history; four-priest yajna structure rationale (~PDF 369–376)</w:t>
      </w:r>
      <w:r>
        <w:t xml:space="preserve"> </w:t>
      </w:r>
      <w:r>
        <w:t xml:space="preserve">- Does</w:t>
      </w:r>
      <w:r>
        <w:t xml:space="preserve"> </w:t>
      </w:r>
      <w:r>
        <w:t xml:space="preserve">“</w:t>
      </w:r>
      <w:r>
        <w:t xml:space="preserve">the Veda</w:t>
      </w:r>
      <w:r>
        <w:t xml:space="preserve">”</w:t>
      </w:r>
      <w:r>
        <w:t xml:space="preserve"> </w:t>
      </w:r>
      <w:r>
        <w:t xml:space="preserve">exist as a definable entity? (~PDF 376–380s)</w:t>
      </w:r>
      <w:r>
        <w:t xml:space="preserve"> </w:t>
      </w:r>
      <w:r>
        <w:t xml:space="preserve">- Do mantras convey meaning? — 9-part objection/resolution (~PDF 380s–465)</w:t>
      </w:r>
      <w:r>
        <w:t xml:space="preserve"> </w:t>
      </w:r>
      <w:r>
        <w:t xml:space="preserve">- Vidhi-authority and Arthavada-authority adhikaranas (~PDF 465–491)</w:t>
      </w:r>
      <w:r>
        <w:t xml:space="preserve"> </w:t>
      </w:r>
      <w:r>
        <w:t xml:space="preserve">- Formal Apauruṣeyatva debate (~PDF 491–501)</w:t>
      </w:r>
      <w:r>
        <w:t xml:space="preserve"> </w:t>
      </w:r>
      <w:r>
        <w:t xml:space="preserve">- Mantra/Brahmana definitional adhikaranas; Rik/Sama/Yajus classification (~PDF 502–517)</w:t>
      </w:r>
      <w:r>
        <w:t xml:space="preserve"> </w:t>
      </w:r>
      <w:r>
        <w:t xml:space="preserve">- Obligatory Vedic study, in full (~PDF 518–543)</w:t>
      </w:r>
      <w:r>
        <w:t xml:space="preserve"> </w:t>
      </w:r>
      <w:r>
        <w:t xml:space="preserve">- The anubandha-chatushtaya (~PDF 540–546)</w:t>
      </w:r>
      <w:r>
        <w:t xml:space="preserve"> </w:t>
      </w:r>
      <w:r>
        <w:t xml:space="preserve">- The six Angas: Shiksha, Kalpa, Vyakarana, Nirukta, Chandas, Jyotisha (~PDF 547–584)</w:t>
      </w:r>
      <w:r>
        <w:t xml:space="preserve"> </w:t>
      </w:r>
      <w:r>
        <w:t xml:space="preserve">- The fourteen vidyāsthānas and Yaska’s four verses on worthy students (~PDF 585–591)</w:t>
      </w:r>
      <w:r>
        <w:t xml:space="preserve"> </w:t>
      </w:r>
      <w:r>
        <w:t xml:space="preserve">- Formal Sanskrit colophon and closing blessing (PDF 621/printed 593)</w:t>
      </w:r>
      <w:r>
        <w:t xml:space="preserve"> </w:t>
      </w:r>
      <w:r>
        <w:t xml:space="preserve">- Decorative Ganesha illustration marking the section close (PDF 622)</w:t>
      </w:r>
    </w:p>
    <w:p>
      <w:pPr>
        <w:pStyle w:val="BodyText"/>
      </w:pPr>
      <w:r>
        <w:rPr>
          <w:bCs/>
          <w:b/>
        </w:rPr>
        <w:t xml:space="preserve">PDF 623 onward:</w:t>
      </w:r>
      <w:r>
        <w:t xml:space="preserve"> </w:t>
      </w:r>
      <w:r>
        <w:t xml:space="preserve">the Rigveda commentary proper begins — not yet translated. This is genuinely new territory for the next session: expect a different rhythm (verse-by-verse Sayana-bhashya on actual Rigveda hymns, rather than the preface’s sustained philosophical argumentation), and the conventions above — especially the three-layer Sanskrit rule and the</w:t>
      </w:r>
      <w:r>
        <w:t xml:space="preserve"> </w:t>
      </w:r>
      <w:r>
        <w:t xml:space="preserve">“</w:t>
      </w:r>
      <w:r>
        <w:t xml:space="preserve">always view() before translating</w:t>
      </w:r>
      <w:r>
        <w:t xml:space="preserve">”</w:t>
      </w:r>
      <w:r>
        <w:t xml:space="preserve"> </w:t>
      </w:r>
      <w:r>
        <w:t xml:space="preserve">rule — apply with full force from the very first page.</w:t>
      </w:r>
    </w:p>
    <w:p>
      <w:r>
        <w:pict>
          <v:rect style="width:0;height:1.5pt" o:hralign="center" o:hrstd="t" o:hr="t"/>
        </w:pict>
      </w:r>
    </w:p>
    <w:bookmarkEnd w:id="23"/>
    <w:bookmarkStart w:id="24" w:name="workflow-mechanics"/>
    <w:p>
      <w:pPr>
        <w:pStyle w:val="Heading2"/>
      </w:pPr>
      <w:r>
        <w:t xml:space="preserve">Workflow mechanics</w:t>
      </w:r>
    </w:p>
    <w:p>
      <w:pPr>
        <w:numPr>
          <w:ilvl w:val="0"/>
          <w:numId w:val="1004"/>
        </w:numPr>
        <w:pStyle w:val="Compact"/>
      </w:pPr>
      <w:r>
        <w:t xml:space="preserve">Render pages via</w:t>
      </w:r>
      <w:r>
        <w:t xml:space="preserve"> </w:t>
      </w:r>
      <w:r>
        <w:rPr>
          <w:rStyle w:val="VerbatimChar"/>
        </w:rPr>
        <w:t xml:space="preserve">pdftoppm -jpeg -r 150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/tmp/</w:t>
      </w:r>
      <w:r>
        <w:t xml:space="preserve"> </w:t>
      </w:r>
      <w:r>
        <w:t xml:space="preserve">in batches of ~15–25 pages at a time (reduces round-trips); view/translate sequentially from the batch, re-rendering fresh batches as each is exhausted.</w:t>
      </w:r>
    </w:p>
    <w:p>
      <w:pPr>
        <w:numPr>
          <w:ilvl w:val="0"/>
          <w:numId w:val="1004"/>
        </w:numPr>
        <w:pStyle w:val="Compact"/>
      </w:pPr>
      <w:r>
        <w:t xml:space="preserve">Append to the master .md via</w:t>
      </w:r>
      <w:r>
        <w:t xml:space="preserve"> </w:t>
      </w:r>
      <w:r>
        <w:rPr>
          <w:rStyle w:val="VerbatimChar"/>
        </w:rPr>
        <w:t xml:space="preserve">head -n -3</w:t>
      </w:r>
      <w:r>
        <w:t xml:space="preserve"> </w:t>
      </w:r>
      <w:r>
        <w:t xml:space="preserve">(strip trailing progress block) +</w:t>
      </w:r>
      <w:r>
        <w:t xml:space="preserve"> </w:t>
      </w:r>
      <w:r>
        <w:rPr>
          <w:rStyle w:val="VerbatimChar"/>
        </w:rPr>
        <w:t xml:space="preserve">cat &gt;&gt; ... &lt;&lt; 'ENDOFTEXT'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mv</w:t>
      </w:r>
      <w:r>
        <w:t xml:space="preserve"> </w:t>
      </w:r>
      <w:r>
        <w:t xml:space="preserve">pattern; always end each append with a fresh progress-note block appended separately afterward.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Always cross-check the visible printed page number against recent progress before translating</w:t>
      </w:r>
      <w:r>
        <w:t xml:space="preserve"> </w:t>
      </w:r>
      <w:r>
        <w:t xml:space="preserve">— catches duplicate-scan blocks immediately.</w:t>
      </w:r>
    </w:p>
    <w:p>
      <w:pPr>
        <w:numPr>
          <w:ilvl w:val="0"/>
          <w:numId w:val="1004"/>
        </w:numPr>
        <w:pStyle w:val="Compact"/>
      </w:pPr>
      <w:r>
        <w:t xml:space="preserve">Printed-page vs. PDF-page offset drifts over the book; don’t assume a fixed delta — read the actual printed folio each time. (As of the Bhumika’s end, the offset is PDF = printed + 28, e.g., PDF 621 = printed 593; verify this hasn’t shifted again once the commentary proper begins, since front-matter/section-break pages can reset pagination.)</w:t>
      </w:r>
    </w:p>
    <w:p>
      <w:pPr>
        <w:numPr>
          <w:ilvl w:val="0"/>
          <w:numId w:val="1004"/>
        </w:numPr>
        <w:pStyle w:val="Compact"/>
      </w:pPr>
      <w:r>
        <w:t xml:space="preserve">When narrating steps for the user, keep the narration in the chat response itself, not the .md file — the .md file’s own prose stays in the established scholarly-translation register.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Docx regeneration command has changed</w:t>
      </w:r>
      <w:r>
        <w:t xml:space="preserve"> </w:t>
      </w:r>
      <w:r>
        <w:t xml:space="preserve">— see item 6 above (font is now</w:t>
      </w:r>
      <w:r>
        <w:t xml:space="preserve"> </w:t>
      </w:r>
      <w:r>
        <w:t xml:space="preserve">“</w:t>
      </w:r>
      <w:r>
        <w:t xml:space="preserve">Noto Serif Devanagari,</w:t>
      </w:r>
      <w:r>
        <w:t xml:space="preserve">”</w:t>
      </w:r>
      <w:r>
        <w:t xml:space="preserve"> </w:t>
      </w:r>
      <w:r>
        <w:t xml:space="preserve">not</w:t>
      </w:r>
      <w:r>
        <w:t xml:space="preserve"> </w:t>
      </w:r>
      <w:r>
        <w:t xml:space="preserve">“</w:t>
      </w:r>
      <w:r>
        <w:t xml:space="preserve">Noto Sans</w:t>
      </w:r>
      <w:r>
        <w:t xml:space="preserve">”</w:t>
      </w:r>
      <w:r>
        <w:t xml:space="preserve">).</w:t>
      </w:r>
    </w:p>
    <w:bookmarkEnd w:id="24"/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2026-09-13T05:02:38Z</dcterms:created>
  <dcterms:modified xsi:type="dcterms:W3CDTF">2026-09-13T05:02:38Z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