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533"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32"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p>
      <w:pPr>
        <w:pStyle w:val="FirstParagraph"/>
      </w:pPr>
      <w:r>
        <w:rPr>
          <w:bCs/>
          <w:b/>
        </w:rPr>
        <w:t xml:space="preserve">Progress note — printed page 524 reached (Sūkta 12 complete).</w:t>
      </w:r>
    </w:p>
    <w:p>
      <w:pPr>
        <w:pStyle w:val="BodyText"/>
      </w:pPr>
      <w:r>
        <w:rPr>
          <w:bCs/>
          <w:b/>
        </w:rPr>
        <w:t xml:space="preserve">This batch:</w:t>
      </w:r>
      <w:r>
        <w:t xml:space="preserve"> </w:t>
      </w:r>
      <w:r>
        <w:t xml:space="preserve">Sūkta 12 (</w:t>
      </w:r>
      <w:r>
        <w:t xml:space="preserve">“</w:t>
      </w:r>
      <w:r>
        <w:t xml:space="preserve">agniṃ dūtaṃ vṛṇīmahe</w:t>
      </w:r>
      <w:r>
        <w:t xml:space="preserve">”</w:t>
      </w:r>
      <w:r>
        <w:t xml:space="preserve">) of Maṇḍala 1, pp. 483–524 — the application note (the first Agni sūkta; Medhātithi Kāṇva; Gāyatrī) and all twelve Riks (12.1–12.12), each with Saṃhitā, Pada, Sāyaṇa-bhāṣya, Pratipadārtha, Bhāvārtha and the printed English, with the grammar pages noted briefly per the cost-saving rule; the long accent arguments on pp. 493–494 (the</w:t>
      </w:r>
      <w:r>
        <w:t xml:space="preserve"> </w:t>
      </w:r>
      <w:r>
        <w:rPr>
          <w:iCs/>
          <w:i/>
        </w:rPr>
        <w:t xml:space="preserve">n</w:t>
      </w:r>
      <w:r>
        <w:t xml:space="preserve"> </w:t>
      </w:r>
      <w:r>
        <w:t xml:space="preserve">of</w:t>
      </w:r>
      <w:r>
        <w:t xml:space="preserve"> </w:t>
      </w:r>
      <w:r>
        <w:rPr>
          <w:iCs/>
          <w:i/>
        </w:rPr>
        <w:t xml:space="preserve">kta</w:t>
      </w:r>
      <w:r>
        <w:t xml:space="preserve">,</w:t>
      </w:r>
      <w:r>
        <w:t xml:space="preserve"> </w:t>
      </w:r>
      <w:r>
        <w:rPr>
          <w:iCs/>
          <w:i/>
        </w:rPr>
        <w:t xml:space="preserve">vṛścati</w:t>
      </w:r>
      <w:r>
        <w:t xml:space="preserve">), 499–502 (two adjacent vocatives,</w:t>
      </w:r>
      <w:r>
        <w:t xml:space="preserve"> </w:t>
      </w:r>
      <w:r>
        <w:rPr>
          <w:iCs/>
          <w:i/>
        </w:rPr>
        <w:t xml:space="preserve">ghṛtāhavana dīdivaḥ agne</w:t>
      </w:r>
      <w:r>
        <w:t xml:space="preserve">) and 511–512 (the</w:t>
      </w:r>
      <w:r>
        <w:t xml:space="preserve"> </w:t>
      </w:r>
      <w:r>
        <w:rPr>
          <w:iCs/>
          <w:i/>
        </w:rPr>
        <w:t xml:space="preserve">kaṇḍvādi</w:t>
      </w:r>
      <w:r>
        <w:t xml:space="preserve"> </w:t>
      </w:r>
      <w:r>
        <w:t xml:space="preserve">group) are outlined only. Highlights: Agni as messenger of the gods and Uśanas Kāvya as messenger of the asuras, from the Yajurveda (12.1);</w:t>
      </w:r>
      <w:r>
        <w:t xml:space="preserve"> </w:t>
      </w:r>
      <w:r>
        <w:rPr>
          <w:iCs/>
          <w:i/>
        </w:rPr>
        <w:t xml:space="preserve">agnim-agnim</w:t>
      </w:r>
      <w:r>
        <w:t xml:space="preserve"> </w:t>
      </w:r>
      <w:r>
        <w:t xml:space="preserve">as the one Agni in many hearths (12.2); Agni born of the</w:t>
      </w:r>
      <w:r>
        <w:t xml:space="preserve"> </w:t>
      </w:r>
      <w:r>
        <w:rPr>
          <w:iCs/>
          <w:i/>
        </w:rPr>
        <w:t xml:space="preserve">araṇi</w:t>
      </w:r>
      <w:r>
        <w:t xml:space="preserve"> </w:t>
      </w:r>
      <w:r>
        <w:t xml:space="preserve">(12.3, 12.6); the awakening of the gods and the seat of</w:t>
      </w:r>
      <w:r>
        <w:t xml:space="preserve"> </w:t>
      </w:r>
      <w:r>
        <w:rPr>
          <w:iCs/>
          <w:i/>
        </w:rPr>
        <w:t xml:space="preserve">barhis</w:t>
      </w:r>
      <w:r>
        <w:t xml:space="preserve"> </w:t>
      </w:r>
      <w:r>
        <w:t xml:space="preserve">(12.4); the burning of rākṣasa-allied foes (12.5); the churning of fire and the kindling of one fire from another, with the Āśvalāyana applications (12.6);</w:t>
      </w:r>
      <w:r>
        <w:t xml:space="preserve"> </w:t>
      </w:r>
      <w:r>
        <w:rPr>
          <w:iCs/>
          <w:i/>
        </w:rPr>
        <w:t xml:space="preserve">amīvacātana</w:t>
      </w:r>
      <w:r>
        <w:t xml:space="preserve"> </w:t>
      </w:r>
      <w:r>
        <w:t xml:space="preserve">as disease-destroyer with the two quoted riks (12.7);</w:t>
      </w:r>
      <w:r>
        <w:t xml:space="preserve"> </w:t>
      </w:r>
      <w:r>
        <w:rPr>
          <w:iCs/>
          <w:i/>
        </w:rPr>
        <w:t xml:space="preserve">saparyati</w:t>
      </w:r>
      <w:r>
        <w:t xml:space="preserve"> </w:t>
      </w:r>
      <w:r>
        <w:t xml:space="preserve">as a</w:t>
      </w:r>
      <w:r>
        <w:t xml:space="preserve"> </w:t>
      </w:r>
      <w:r>
        <w:rPr>
          <w:iCs/>
          <w:i/>
        </w:rPr>
        <w:t xml:space="preserve">kaṇḍvādi</w:t>
      </w:r>
      <w:r>
        <w:t xml:space="preserve"> </w:t>
      </w:r>
      <w:r>
        <w:t xml:space="preserve">denominative (12.8); the</w:t>
      </w:r>
      <w:r>
        <w:t xml:space="preserve"> </w:t>
      </w:r>
      <w:r>
        <w:rPr>
          <w:iCs/>
          <w:i/>
        </w:rPr>
        <w:t xml:space="preserve">yājyā</w:t>
      </w:r>
      <w:r>
        <w:t xml:space="preserve"> </w:t>
      </w:r>
      <w:r>
        <w:t xml:space="preserve">for the contact of the Gārhapatya and Āhavanīya fires (12.9); the</w:t>
      </w:r>
      <w:r>
        <w:t xml:space="preserve"> </w:t>
      </w:r>
      <w:r>
        <w:rPr>
          <w:iCs/>
          <w:i/>
        </w:rPr>
        <w:t xml:space="preserve">pavamāneṣṭi</w:t>
      </w:r>
      <w:r>
        <w:t xml:space="preserve"> </w:t>
      </w:r>
      <w:r>
        <w:rPr>
          <w:iCs/>
          <w:i/>
        </w:rPr>
        <w:t xml:space="preserve">anuvākyā</w:t>
      </w:r>
      <w:r>
        <w:t xml:space="preserve"> </w:t>
      </w:r>
      <w:r>
        <w:t xml:space="preserve">(12.10); and the</w:t>
      </w:r>
      <w:r>
        <w:t xml:space="preserve"> </w:t>
      </w:r>
      <w:r>
        <w:t xml:space="preserve">“</w:t>
      </w:r>
      <w:r>
        <w:t xml:space="preserve">new Gāyatra hymn</w:t>
      </w:r>
      <w:r>
        <w:t xml:space="preserve">”</w:t>
      </w:r>
      <w:r>
        <w:t xml:space="preserve"> </w:t>
      </w:r>
      <w:r>
        <w:t xml:space="preserve">(12.11).</w:t>
      </w:r>
    </w:p>
    <w:p>
      <w:pPr>
        <w:pStyle w:val="BodyText"/>
      </w:pPr>
      <w:r>
        <w:rPr>
          <w:bCs/>
          <w:b/>
        </w:rPr>
        <w:t xml:space="preserve">Next task:</w:t>
      </w:r>
      <w:r>
        <w:t xml:space="preserve"> </w:t>
      </w:r>
      <w:r>
        <w:t xml:space="preserve">begin Sūkta 13 (</w:t>
      </w:r>
      <w:r>
        <w:t xml:space="preserve">“</w:t>
      </w:r>
      <w:r>
        <w:t xml:space="preserve">suśamiddho na ā vaha,</w:t>
      </w:r>
      <w:r>
        <w:t xml:space="preserve">”</w:t>
      </w:r>
      <w:r>
        <w:t xml:space="preserve"> </w:t>
      </w:r>
      <w:r>
        <w:t xml:space="preserve">an Āpri-sūkta) at printed page 525 (PDF page 540), from its heading. The table of contents puts its application at p. 525, its ṛṣi/deity/meter at p. 526 and its word-meanings at p. 527, and lists, among its special topics,</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Tvaṣṭṛ (p. 571) and</w:t>
      </w:r>
      <w:r>
        <w:t xml:space="preserve"> </w:t>
      </w:r>
      <w:r>
        <w:t xml:space="preserve">“</w:t>
      </w:r>
      <w:r>
        <w:t xml:space="preserve">svāhākṛti</w:t>
      </w:r>
      <w:r>
        <w:t xml:space="preserve">”</w:t>
      </w:r>
      <w:r>
        <w:t xml:space="preserve"> </w:t>
      </w:r>
      <w:r>
        <w:t xml:space="preserve">(p. 580); it is therefore a long sūkta and probably needs more than one session.</w:t>
      </w:r>
    </w:p>
    <w:p>
      <w:pPr>
        <w:pStyle w:val="BodyText"/>
      </w:pPr>
      <w:r>
        <w:rPr>
          <w:bCs/>
          <w:b/>
        </w:rPr>
        <w:t xml:space="preserve">Open flags:</w:t>
      </w:r>
      <w:r>
        <w:t xml:space="preserve"> </w:t>
      </w:r>
      <w:r>
        <w:t xml:space="preserve">- Varga numbering: this sūkta’s heading reads</w:t>
      </w:r>
      <w:r>
        <w:t xml:space="preserve"> </w:t>
      </w:r>
      <w:r>
        <w:t xml:space="preserve">“</w:t>
      </w:r>
      <w:r>
        <w:t xml:space="preserve">22, 23</w:t>
      </w:r>
      <w:r>
        <w:t xml:space="preserve">”</w:t>
      </w:r>
      <w:r>
        <w:t xml:space="preserve"> </w:t>
      </w:r>
      <w:r>
        <w:t xml:space="preserve">at 300 dpi — the first numeral of each is clear as</w:t>
      </w:r>
      <w:r>
        <w:t xml:space="preserve"> </w:t>
      </w:r>
      <w:r>
        <w:t xml:space="preserve">“</w:t>
      </w:r>
      <w:r>
        <w:t xml:space="preserve">2</w:t>
      </w:r>
      <w:r>
        <w:t xml:space="preserve">”</w:t>
      </w:r>
      <w:r>
        <w:t xml:space="preserve"> </w:t>
      </w:r>
      <w:r>
        <w:t xml:space="preserve">and the second digit of each blurred — so the earlier unresolved run (Sūkta 7</w:t>
      </w:r>
      <w:r>
        <w:t xml:space="preserve"> </w:t>
      </w:r>
      <w:r>
        <w:t xml:space="preserve">“</w:t>
      </w:r>
      <w:r>
        <w:t xml:space="preserve">13, 14</w:t>
      </w:r>
      <w:r>
        <w:t xml:space="preserve">”</w:t>
      </w:r>
      <w:r>
        <w:t xml:space="preserve">, Sūkta 8</w:t>
      </w:r>
      <w:r>
        <w:t xml:space="preserve"> </w:t>
      </w:r>
      <w:r>
        <w:t xml:space="preserve">“</w:t>
      </w:r>
      <w:r>
        <w:t xml:space="preserve">15, 16</w:t>
      </w:r>
      <w:r>
        <w:t xml:space="preserve">”</w:t>
      </w:r>
      <w:r>
        <w:t xml:space="preserve">, Sūkta 9</w:t>
      </w:r>
      <w:r>
        <w:t xml:space="preserve"> </w:t>
      </w:r>
      <w:r>
        <w:t xml:space="preserve">“</w:t>
      </w:r>
      <w:r>
        <w:t xml:space="preserve">17, 18</w:t>
      </w:r>
      <w:r>
        <w:t xml:space="preserve">”</w:t>
      </w:r>
      <w:r>
        <w:t xml:space="preserve">, Sūkta 10</w:t>
      </w:r>
      <w:r>
        <w:t xml:space="preserve"> </w:t>
      </w:r>
      <w:r>
        <w:t xml:space="preserve">“</w:t>
      </w:r>
      <w:r>
        <w:t xml:space="preserve">19, 20</w:t>
      </w:r>
      <w:r>
        <w:t xml:space="preserve">”</w:t>
      </w:r>
      <w:r>
        <w:t xml:space="preserve">, Sūkta 11</w:t>
      </w:r>
      <w:r>
        <w:t xml:space="preserve"> </w:t>
      </w:r>
      <w:r>
        <w:t xml:space="preserve">“</w:t>
      </w:r>
      <w:r>
        <w:t xml:space="preserve">21</w:t>
      </w:r>
      <w:r>
        <w:t xml:space="preserve">”</w:t>
      </w:r>
      <w:r>
        <w:t xml:space="preserve">) now continues</w:t>
      </w:r>
      <w:r>
        <w:t xml:space="preserve"> </w:t>
      </w:r>
      <w:r>
        <w:t xml:space="preserve">“</w:t>
      </w:r>
      <w:r>
        <w:t xml:space="preserve">22, 23</w:t>
      </w:r>
      <w:r>
        <w:t xml:space="preserve">”</w:t>
      </w:r>
      <w:r>
        <w:t xml:space="preserve">; still unreconciled with the</w:t>
      </w:r>
      <w:r>
        <w:t xml:space="preserve"> </w:t>
      </w:r>
      <w:r>
        <w:t xml:space="preserve">“</w:t>
      </w:r>
      <w:r>
        <w:t xml:space="preserve">eighth varga</w:t>
      </w:r>
      <w:r>
        <w:t xml:space="preserve">”</w:t>
      </w:r>
      <w:r>
        <w:t xml:space="preserve"> </w:t>
      </w:r>
      <w:r>
        <w:t xml:space="preserve">colophon of Sūkta 6.</w:t>
      </w:r>
      <w:r>
        <w:t xml:space="preserve"> </w:t>
      </w:r>
      <w:r>
        <w:t xml:space="preserve">- Rik 12.1 (heading): the deity line reads</w:t>
      </w:r>
      <w:r>
        <w:t xml:space="preserve"> </w:t>
      </w:r>
      <w:r>
        <w:t xml:space="preserve">“</w:t>
      </w:r>
      <w:r>
        <w:t xml:space="preserve">agniḥ | 6 — agnir nirmathyo ’gnir āpavasīyaś ca |</w:t>
      </w:r>
      <w:r>
        <w:t xml:space="preserve">”</w:t>
      </w:r>
      <w:r>
        <w:t xml:space="preserve"> </w:t>
      </w:r>
      <w:r>
        <w:t xml:space="preserve">and I give the second name as uncertain; the Rik-1 application note’s sentence about the meter, and the deity-list in the Anukramaṇī quotation, are compressed in the scan and are marked in place.</w:t>
      </w:r>
      <w:r>
        <w:t xml:space="preserve"> </w:t>
      </w:r>
      <w:r>
        <w:t xml:space="preserve">- Rik 12.2: the first words of the bhāṣya are compressed; Rik 12.5: parts of the bhāṣya’s grammar are compressed and only the legible portions are given; Rik 12.8: the Mahābhāṣya quotation under</w:t>
      </w:r>
      <w:r>
        <w:t xml:space="preserve"> </w:t>
      </w:r>
      <w:r>
        <w:rPr>
          <w:iCs/>
          <w:i/>
        </w:rPr>
        <w:t xml:space="preserve">saparyati</w:t>
      </w:r>
      <w:r>
        <w:t xml:space="preserve"> </w:t>
      </w:r>
      <w:r>
        <w:t xml:space="preserve">is a best reading; Rik 12.9: the opening of the Sanskrit grammar on p. 513 is compressed.</w:t>
      </w:r>
      <w:r>
        <w:t xml:space="preserve"> </w:t>
      </w:r>
      <w:r>
        <w:t xml:space="preserve">- Rik 12.11, Special Topics: the three quoted Ṛgveda lines illustrating</w:t>
      </w:r>
      <w:r>
        <w:t xml:space="preserve"> </w:t>
      </w:r>
      <w:r>
        <w:rPr>
          <w:iCs/>
          <w:i/>
        </w:rPr>
        <w:t xml:space="preserve">bhara</w:t>
      </w:r>
      <w:r>
        <w:t xml:space="preserve"> </w:t>
      </w:r>
      <w:r>
        <w:t xml:space="preserve">“</w:t>
      </w:r>
      <w:r>
        <w:t xml:space="preserve">give</w:t>
      </w:r>
      <w:r>
        <w:t xml:space="preserve">”</w:t>
      </w:r>
      <w:r>
        <w:t xml:space="preserve"> </w:t>
      </w:r>
      <w:r>
        <w:t xml:space="preserve">carry reference numerals that are doubtful and are marked</w:t>
      </w:r>
      <w:r>
        <w:t xml:space="preserve"> </w:t>
      </w:r>
      <w:r>
        <w:t xml:space="preserve">“</w:t>
      </w:r>
      <w:r>
        <w:t xml:space="preserve">?</w:t>
      </w:r>
      <w:r>
        <w:t xml:space="preserve">”</w:t>
      </w:r>
      <w:r>
        <w:t xml:space="preserve"> </w:t>
      </w:r>
      <w:r>
        <w:t xml:space="preserve">in the text; the first is given without a gloss.</w:t>
      </w:r>
      <w:r>
        <w:t xml:space="preserve"> </w:t>
      </w:r>
      <w:r>
        <w:t xml:space="preserve">- Reference numerals (Nirukta, Nighaṇṭu, Uṇādi, Phiṭ, Pāṇini, Ṛgveda mantra numbers, Āśvalāyana/Taittirīya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531"/>
    <w:bookmarkEnd w:id="532"/>
    <w:bookmarkEnd w:id="5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2026-10-03T03:22:00Z</dcterms:created>
  <dcterms:modified xsi:type="dcterms:W3CDTF">2026-10-03T03:22:00Z</dcterms:modified>
</cp:coreProperties>
</file>

<file path=docProps/custom.xml><?xml version="1.0" encoding="utf-8"?>
<Properties xmlns="http://schemas.openxmlformats.org/officeDocument/2006/custom-properties" xmlns:vt="http://schemas.openxmlformats.org/officeDocument/2006/docPropsVTypes"/>
</file>