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9"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p>
      <w:r>
        <w:pict>
          <v:rect style="width:0;height:1.5pt" o:hralign="center" o:hrstd="t" o:hr="t"/>
        </w:pict>
      </w:r>
    </w:p>
    <w:p>
      <w:pPr>
        <w:pStyle w:val="FirstParagraph"/>
      </w:pPr>
      <w:r>
        <w:rPr>
          <w:bCs/>
          <w:b/>
        </w:rPr>
        <w:t xml:space="preserve">Progress note — printed page 43 (upper part) reached; Sūkta 20 complete.</w:t>
      </w:r>
    </w:p>
    <w:p>
      <w:pPr>
        <w:pStyle w:val="BodyText"/>
      </w:pPr>
      <w:r>
        <w:rPr>
          <w:bCs/>
          <w:b/>
        </w:rPr>
        <w:t xml:space="preserve">This batch:</w:t>
      </w:r>
      <w:r>
        <w:t xml:space="preserve"> </w:t>
      </w:r>
      <w:r>
        <w:t xml:space="preserve">Rik 8 of Sūkta 20 (printed pp. 38–43). With the earlier batches, Sūkta 20 (</w:t>
      </w:r>
      <w:r>
        <w:rPr>
          <w:iCs/>
          <w:i/>
        </w:rPr>
        <w:t xml:space="preserve">ayaṃ devāya janmane</w:t>
      </w:r>
      <w:r>
        <w:t xml:space="preserve">, eight riks, to the Ṛbhus; Medhātithi Kāṇva; Gāyatrī) is complete from p. 1.</w:t>
      </w:r>
    </w:p>
    <w:p>
      <w:pPr>
        <w:pStyle w:val="BodyText"/>
      </w:pPr>
      <w:r>
        <w:rPr>
          <w:bCs/>
          <w:b/>
        </w:rPr>
        <w:t xml:space="preserve">Next task:</w:t>
      </w:r>
      <w:r>
        <w:t xml:space="preserve"> </w:t>
      </w:r>
      <w:r>
        <w:t xml:space="preserve">begin Sūkta 21 (</w:t>
      </w:r>
      <w:r>
        <w:rPr>
          <w:iCs/>
          <w:i/>
        </w:rPr>
        <w:t xml:space="preserve">ihendrāgnī upa hvaye</w:t>
      </w:r>
      <w:r>
        <w:t xml:space="preserve">, to Indra and Agni; six riks; the fourth sūkta of the fifth anuvāka) on the lower part of printed p. 43 (PDF page 58): its Sāyaṇa application note is already printed there, and the heading with Rik 1 follows on p. 44 (PDF page 59). Sūkta 21 runs to printed p. 62; Sūkta 22 begins at p. 63.</w:t>
      </w:r>
    </w:p>
    <w:p>
      <w:pPr>
        <w:pStyle w:val="BodyText"/>
      </w:pPr>
      <w:r>
        <w:rPr>
          <w:bCs/>
          <w:b/>
        </w:rPr>
        <w:t xml:space="preserve">Open flags:</w:t>
      </w:r>
      <w:r>
        <w:t xml:space="preserve"> </w:t>
      </w:r>
      <w:r>
        <w:t xml:space="preserve">- The Anukramaṇikā quotation in Sūkta 20’s application note (</w:t>
      </w:r>
      <w:r>
        <w:rPr>
          <w:iCs/>
          <w:i/>
        </w:rPr>
        <w:t xml:space="preserve">ayam aṣṭāv ārbhavam</w:t>
      </w:r>
      <w:r>
        <w:t xml:space="preserve">) is read from small print and is uncertain [?]; the English of the homage verses at the head of p. 1 is mine.</w:t>
      </w:r>
      <w:r>
        <w:t xml:space="preserve"> </w:t>
      </w:r>
      <w:r>
        <w:t xml:space="preserve">- Rik 4 and Rik 8: the Ṛgveda citations in the Special Topics (1-110-4, 1-161-11, 3-60-1) are read from small print and marked [?]; my gloss of the first is tentative and labelled so. Rik 6: the grammar on</w:t>
      </w:r>
      <w:r>
        <w:t xml:space="preserve"> </w:t>
      </w:r>
      <w:r>
        <w:rPr>
          <w:iCs/>
          <w:i/>
        </w:rPr>
        <w:t xml:space="preserve">niṣkṛtam</w:t>
      </w:r>
      <w:r>
        <w:t xml:space="preserve"> </w:t>
      </w:r>
      <w:r>
        <w:t xml:space="preserve">(pp. 27–28) and</w:t>
      </w:r>
      <w:r>
        <w:t xml:space="preserve"> </w:t>
      </w:r>
      <w:r>
        <w:rPr>
          <w:iCs/>
          <w:i/>
        </w:rPr>
        <w:t xml:space="preserve">caturaḥ</w:t>
      </w:r>
      <w:r>
        <w:t xml:space="preserve"> </w:t>
      </w:r>
      <w:r>
        <w:t xml:space="preserve">is summarised only. Rik 7: the grammar of</w:t>
      </w:r>
      <w:r>
        <w:t xml:space="preserve"> </w:t>
      </w:r>
      <w:r>
        <w:rPr>
          <w:iCs/>
          <w:i/>
        </w:rPr>
        <w:t xml:space="preserve">dhattana</w:t>
      </w:r>
      <w:r>
        <w:t xml:space="preserve"> </w:t>
      </w:r>
      <w:r>
        <w:t xml:space="preserve">(pp. 34–35) and</w:t>
      </w:r>
      <w:r>
        <w:t xml:space="preserve"> </w:t>
      </w:r>
      <w:r>
        <w:rPr>
          <w:iCs/>
          <w:i/>
        </w:rPr>
        <w:t xml:space="preserve">ekam ekam</w:t>
      </w:r>
      <w:r>
        <w:t xml:space="preserve"> </w:t>
      </w:r>
      <w:r>
        <w:t xml:space="preserve">(pp. 36–37) is in outline.</w:t>
      </w:r>
      <w:r>
        <w:t xml:space="preserve"> </w:t>
      </w:r>
      <w:r>
        <w:t xml:space="preserve">- The Rik 3 grammar (pp. 10–13:</w:t>
      </w:r>
      <w:r>
        <w:t xml:space="preserve"> </w:t>
      </w:r>
      <w:r>
        <w:rPr>
          <w:iCs/>
          <w:i/>
        </w:rPr>
        <w:t xml:space="preserve">parijman</w:t>
      </w:r>
      <w:r>
        <w:t xml:space="preserve">,</w:t>
      </w:r>
      <w:r>
        <w:t xml:space="preserve"> </w:t>
      </w:r>
      <w:r>
        <w:rPr>
          <w:iCs/>
          <w:i/>
        </w:rPr>
        <w:t xml:space="preserve">mātariśvan</w:t>
      </w:r>
      <w:r>
        <w:t xml:space="preserve">,</w:t>
      </w:r>
      <w:r>
        <w:t xml:space="preserve"> </w:t>
      </w:r>
      <w:r>
        <w:rPr>
          <w:iCs/>
          <w:i/>
        </w:rPr>
        <w:t xml:space="preserve">maghavan</w:t>
      </w:r>
      <w:r>
        <w:t xml:space="preserve">) is given in outline only; the Rik 8 grammar on</w:t>
      </w:r>
      <w:r>
        <w:t xml:space="preserve"> </w:t>
      </w:r>
      <w:r>
        <w:rPr>
          <w:iCs/>
          <w:i/>
        </w:rPr>
        <w:t xml:space="preserve">sukṛtyayā</w:t>
      </w:r>
      <w:r>
        <w:t xml:space="preserve"> </w:t>
      </w:r>
      <w:r>
        <w:t xml:space="preserve">(the accent dispute, pp. 41–42) likewise.</w:t>
      </w:r>
      <w:r>
        <w:t xml:space="preserve"> </w:t>
      </w:r>
      <w:r>
        <w:t xml:space="preserve">- Varga numerals</w:t>
      </w:r>
      <w:r>
        <w:t xml:space="preserve"> </w:t>
      </w:r>
      <w:r>
        <w:t xml:space="preserve">“</w:t>
      </w:r>
      <w:r>
        <w:t xml:space="preserve">1, 2 [?]</w:t>
      </w:r>
      <w:r>
        <w:t xml:space="preserve">”</w:t>
      </w:r>
      <w:r>
        <w:t xml:space="preserve">; Ṛgveda and Nighaṇṭu reference numerals marked [?] where unclear.</w:t>
      </w:r>
      <w:r>
        <w:t xml:space="preserve"> </w:t>
      </w:r>
      <w:r>
        <w:t xml:space="preserve">- The preface (PDF pp. 8–10), the abbreviations list (PDF p. 11) and the portrait pages are not translated.</w:t>
      </w:r>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2026-10-03T08:03:48Z</dcterms:created>
  <dcterms:modified xsi:type="dcterms:W3CDTF">2026-10-03T08:03:48Z</dcterms:modified>
</cp:coreProperties>
</file>

<file path=docProps/custom.xml><?xml version="1.0" encoding="utf-8"?>
<Properties xmlns="http://schemas.openxmlformats.org/officeDocument/2006/custom-properties" xmlns:vt="http://schemas.openxmlformats.org/officeDocument/2006/docPropsVTypes"/>
</file>