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p>
      <w:r>
        <w:pict>
          <v:rect style="width:0;height:1.5pt" o:hralign="center" o:hrstd="t" o:hr="t"/>
        </w:pict>
      </w:r>
    </w:p>
    <w:bookmarkEnd w:id="22"/>
    <w:bookmarkEnd w:id="23"/>
    <w:bookmarkStart w:id="341"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340"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9, 10 ॥</w:t>
      </w:r>
      <w:r>
        <w:t xml:space="preserve"> </w:t>
      </w:r>
      <w:r>
        <w:rPr>
          <w:iCs/>
          <w:i/>
        </w:rPr>
        <w:t xml:space="preserve">(the varga numerals are small-print Kannada digits;</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is the reading consistent with the colophon just above, which closes Varga 8 [?])</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sixty-six [?]</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source’s number-word for the count is not clear in the scan: Kannada</w:t>
      </w:r>
      <w:r>
        <w:rPr>
          <w:iCs/>
          <w:i/>
        </w:rPr>
        <w:t xml:space="preserve"> </w:t>
      </w:r>
      <w:r>
        <w:rPr>
          <w:iCs/>
          <w:i/>
        </w:rPr>
        <w:t xml:space="preserve">“</w:t>
      </w:r>
      <w:r>
        <w:rPr>
          <w:iCs/>
          <w:i/>
        </w:rPr>
        <w:t xml:space="preserve">ನೇವತ್ತಾರು</w:t>
      </w:r>
      <w:r>
        <w:rPr>
          <w:iCs/>
          <w:i/>
        </w:rPr>
        <w:t xml:space="preserve">”</w:t>
      </w:r>
      <w:r>
        <w:rPr>
          <w:iCs/>
          <w:i/>
        </w:rPr>
        <w:t xml:space="preserv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p>
      <w:pPr>
        <w:pStyle w:val="FirstParagraph"/>
      </w:pPr>
      <w:r>
        <w:rPr>
          <w:bCs/>
          <w:b/>
        </w:rPr>
        <w:t xml:space="preserve">Progress note — printed page 301 reached (Sūkta 7 complete).</w:t>
      </w:r>
    </w:p>
    <w:p>
      <w:pPr>
        <w:pStyle w:val="BodyText"/>
      </w:pPr>
      <w:r>
        <w:rPr>
          <w:bCs/>
          <w:b/>
        </w:rPr>
        <w:t xml:space="preserve">This batch:</w:t>
      </w:r>
      <w:r>
        <w:t xml:space="preserve"> </w:t>
      </w:r>
      <w:r>
        <w:t xml:space="preserve">Sūkta 7 (</w:t>
      </w:r>
      <w:r>
        <w:t xml:space="preserve">“</w:t>
      </w:r>
      <w:r>
        <w:t xml:space="preserve">indram id gāthino bṛhat</w:t>
      </w:r>
      <w:r>
        <w:t xml:space="preserve">”</w:t>
      </w:r>
      <w:r>
        <w:t xml:space="preserve">) of Maṇḍala 1, pp. 257–301 — the application note (Mahāvrata, Ṣaḷaha, Atirātra), and all ten Riks (7.1–7.10), each with Saṃhitā, Pada, Sāyaṇa-bhāṣya, Pratipadārtha, Bhāvārtha and the printed English (none is printed for Rik 7.6), with the grammar pages characterized in outline. Sūkta 7 was translated in a separate session and merged here after Sūkta 6, so the file is now contiguous from p. 1 to p. 301. Highlights: the Ṛk/Yajus/Sāman reading of Rik 7.1; the Sāyaṇa-vs-Skandasvāmī divergence on</w:t>
      </w:r>
      <w:r>
        <w:t xml:space="preserve"> </w:t>
      </w:r>
      <w:r>
        <w:t xml:space="preserve">“</w:t>
      </w:r>
      <w:r>
        <w:t xml:space="preserve">mahādhane</w:t>
      </w:r>
      <w:r>
        <w:t xml:space="preserve">”</w:t>
      </w:r>
      <w:r>
        <w:t xml:space="preserve"> </w:t>
      </w:r>
      <w:r>
        <w:t xml:space="preserve">(7.5); the</w:t>
      </w:r>
      <w:r>
        <w:t xml:space="preserve"> </w:t>
      </w:r>
      <w:r>
        <w:t xml:space="preserve">“</w:t>
      </w:r>
      <w:r>
        <w:t xml:space="preserve">suṣṭutim</w:t>
      </w:r>
      <w:r>
        <w:t xml:space="preserve">”</w:t>
      </w:r>
      <w:r>
        <w:t xml:space="preserve"> </w:t>
      </w:r>
      <w:r>
        <w:t xml:space="preserve">debate (7.7); the</w:t>
      </w:r>
      <w:r>
        <w:t xml:space="preserve"> </w:t>
      </w:r>
      <w:r>
        <w:t xml:space="preserve">“</w:t>
      </w:r>
      <w:r>
        <w:t xml:space="preserve">pañca kṣitayaḥ / pañca janāḥ</w:t>
      </w:r>
      <w:r>
        <w:t xml:space="preserve">”</w:t>
      </w:r>
      <w:r>
        <w:t xml:space="preserve"> </w:t>
      </w:r>
      <w:r>
        <w:t xml:space="preserve">note with Yāska’s Nirukta passage (7.9).</w:t>
      </w:r>
    </w:p>
    <w:p>
      <w:pPr>
        <w:pStyle w:val="BodyText"/>
      </w:pPr>
      <w:r>
        <w:rPr>
          <w:bCs/>
          <w:b/>
        </w:rPr>
        <w:t xml:space="preserve">Next task:</w:t>
      </w:r>
      <w:r>
        <w:t xml:space="preserve"> </w:t>
      </w:r>
      <w:r>
        <w:t xml:space="preserve">begin Sūkta 8 (</w:t>
      </w:r>
      <w:r>
        <w:t xml:space="preserve">“</w:t>
      </w:r>
      <w:r>
        <w:t xml:space="preserve">indre sānasiṃ rayim</w:t>
      </w:r>
      <w:r>
        <w:t xml:space="preserve">”</w:t>
      </w:r>
      <w:r>
        <w:t xml:space="preserve">) at printed page 302 (PDF page 317), from its heading.</w:t>
      </w:r>
    </w:p>
    <w:p>
      <w:pPr>
        <w:pStyle w:val="BodyText"/>
      </w:pPr>
      <w:r>
        <w:rPr>
          <w:bCs/>
          <w:b/>
        </w:rPr>
        <w:t xml:space="preserve">Open flags:</w:t>
      </w:r>
      <w:r>
        <w:t xml:space="preserve"> </w:t>
      </w:r>
      <w:r>
        <w:t xml:space="preserve">- Varga numbering: Sūkta 7’s heading reads</w:t>
      </w:r>
      <w:r>
        <w:t xml:space="preserve"> </w:t>
      </w:r>
      <w:r>
        <w:t xml:space="preserve">“</w:t>
      </w:r>
      <w:r>
        <w:t xml:space="preserve">Varga 9, 10</w:t>
      </w:r>
      <w:r>
        <w:t xml:space="preserve">”</w:t>
      </w:r>
      <w:r>
        <w:t xml:space="preserve"> </w:t>
      </w:r>
      <w:r>
        <w:t xml:space="preserve">(small numerals; inferred from the Sūkta 6 colophon</w:t>
      </w:r>
      <w:r>
        <w:t xml:space="preserve"> </w:t>
      </w:r>
      <w:r>
        <w:t xml:space="preserve">“</w:t>
      </w:r>
      <w:r>
        <w:t xml:space="preserve">eighth varga</w:t>
      </w:r>
      <w:r>
        <w:t xml:space="preserve">”</w:t>
      </w:r>
      <w:r>
        <w:t xml:space="preserve">); earlier varga-number discrepancies (Sūkta 5/6) remain unreconciled.</w:t>
      </w:r>
      <w:r>
        <w:t xml:space="preserve"> </w:t>
      </w:r>
      <w:r>
        <w:t xml:space="preserve">- Reference numerals (Nirukta, Nighaṇṭu, Uṇādi, Phiṭ, Pāṇini, Sāma/Atharva/Taittirīya/Maitrāyaṇīya numbers) are marked [?] wherever not certain; Sūkta 7’s grammar sūtra numbers were read from small print and not cross-checked.</w:t>
      </w:r>
      <w:r>
        <w:t xml:space="preserve"> </w:t>
      </w:r>
      <w:r>
        <w:t xml:space="preserve">- Sūkta 7 quotations marked [?]: the eight</w:t>
      </w:r>
      <w:r>
        <w:t xml:space="preserve"> </w:t>
      </w:r>
      <w:r>
        <w:t xml:space="preserve">“</w:t>
      </w:r>
      <w:r>
        <w:t xml:space="preserve">sammiśla</w:t>
      </w:r>
      <w:r>
        <w:t xml:space="preserve">”</w:t>
      </w:r>
      <w:r>
        <w:t xml:space="preserve"> </w:t>
      </w:r>
      <w:r>
        <w:t xml:space="preserve">riks quoted under Rik 7.2, and the three</w:t>
      </w:r>
      <w:r>
        <w:t xml:space="preserve"> </w:t>
      </w:r>
      <w:r>
        <w:t xml:space="preserve">“</w:t>
      </w:r>
      <w:r>
        <w:t xml:space="preserve">pañca jana / pañca kṛṣṭi</w:t>
      </w:r>
      <w:r>
        <w:t xml:space="preserve">”</w:t>
      </w:r>
      <w:r>
        <w:t xml:space="preserve"> </w:t>
      </w:r>
      <w:r>
        <w:t xml:space="preserve">riks under Rik 7.9, are best readings; the</w:t>
      </w:r>
      <w:r>
        <w:t xml:space="preserve"> </w:t>
      </w:r>
      <w:r>
        <w:t xml:space="preserve">“</w:t>
      </w:r>
      <w:r>
        <w:t xml:space="preserve">yacyamānam</w:t>
      </w:r>
      <w:r>
        <w:t xml:space="preserve">”</w:t>
      </w:r>
      <w:r>
        <w:t xml:space="preserve"> </w:t>
      </w:r>
      <w:r>
        <w:t xml:space="preserve">reading in Rik 7.8 and the</w:t>
      </w:r>
      <w:r>
        <w:t xml:space="preserve"> </w:t>
      </w:r>
      <w:r>
        <w:t xml:space="preserve">“</w:t>
      </w:r>
      <w:r>
        <w:t xml:space="preserve">baṇ mahāṁ asi sūrya</w:t>
      </w:r>
      <w:r>
        <w:t xml:space="preserve">”</w:t>
      </w:r>
      <w:r>
        <w:t xml:space="preserve"> </w:t>
      </w:r>
      <w:r>
        <w:t xml:space="preserve">citation in Rik 7.10 are doubtful; the</w:t>
      </w:r>
      <w:r>
        <w:t xml:space="preserve"> </w:t>
      </w:r>
      <w:r>
        <w:t xml:space="preserve">“</w:t>
      </w:r>
      <w:r>
        <w:t xml:space="preserve">॥२॥</w:t>
      </w:r>
      <w:r>
        <w:t xml:space="preserve">”</w:t>
      </w:r>
      <w:r>
        <w:t xml:space="preserve"> </w:t>
      </w:r>
      <w:r>
        <w:t xml:space="preserve">after Rik 7.10 is read as an anuvāka-end marker, unconfirmed.</w:t>
      </w:r>
      <w:r>
        <w:t xml:space="preserve"> </w:t>
      </w:r>
      <w:r>
        <w:t xml:space="preserve">- Accent marks are not reproduced for Riks 3.5 onward (Riks 3.1–3.4 carry them).</w:t>
      </w:r>
      <w:r>
        <w:t xml:space="preserve"> </w:t>
      </w:r>
      <w:r>
        <w:t xml:space="preserve">- Older progress notes inside the file (around lines 170, 385, 501) and a stray Cyrillic string on p. 29 are not yet cleaned.</w:t>
      </w:r>
    </w:p>
    <w:bookmarkEnd w:id="339"/>
    <w:bookmarkEnd w:id="340"/>
    <w:bookmarkEnd w:id="3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2026-10-02T16:11:07Z</dcterms:created>
  <dcterms:modified xsi:type="dcterms:W3CDTF">2026-10-02T16:11:07Z</dcterms:modified>
</cp:coreProperties>
</file>

<file path=docProps/custom.xml><?xml version="1.0" encoding="utf-8"?>
<Properties xmlns="http://schemas.openxmlformats.org/officeDocument/2006/custom-properties" xmlns:vt="http://schemas.openxmlformats.org/officeDocument/2006/docPropsVTypes"/>
</file>