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p>
      <w:r>
        <w:pict>
          <v:rect style="width:0;height:1.5pt" o:hralign="center" o:hrstd="t" o:hr="t"/>
        </w:pict>
      </w:r>
    </w:p>
    <w:bookmarkEnd w:id="22"/>
    <w:bookmarkEnd w:id="23"/>
    <w:bookmarkStart w:id="380"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379"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p>
      <w:pPr>
        <w:pStyle w:val="FirstParagraph"/>
      </w:pPr>
      <w:r>
        <w:rPr>
          <w:bCs/>
          <w:b/>
        </w:rPr>
        <w:t xml:space="preserve">Progress note — printed page 341 reached (Sūkta 8 complete).</w:t>
      </w:r>
    </w:p>
    <w:p>
      <w:pPr>
        <w:pStyle w:val="BodyText"/>
      </w:pPr>
      <w:r>
        <w:rPr>
          <w:bCs/>
          <w:b/>
        </w:rPr>
        <w:t xml:space="preserve">This batch:</w:t>
      </w:r>
      <w:r>
        <w:t xml:space="preserve"> </w:t>
      </w:r>
      <w:r>
        <w:t xml:space="preserve">Sūkta 8 (</w:t>
      </w:r>
      <w:r>
        <w:t xml:space="preserve">“</w:t>
      </w:r>
      <w:r>
        <w:t xml:space="preserve">ā indra sānasiṃ rayim</w:t>
      </w:r>
      <w:r>
        <w:t xml:space="preserve">”</w:t>
      </w:r>
      <w:r>
        <w:t xml:space="preserve">) of Maṇḍala 1, pp. 302–341 — the application note (Mahāvrata, Atirātra, Darśa-yāga), and all ten Riks (8.1–8.10), each with Saṃhitā, Pada, Sāyaṇa-bhāṣya, Pratipadārtha, Bhāvārtha and the printed English (none is printed for Rik 8.8), with the grammar pages noted briefly per the cost-saving rule. Highlights: the five-rik run on battle and wealth (8.1–8.4); the</w:t>
      </w:r>
      <w:r>
        <w:t xml:space="preserve"> </w:t>
      </w:r>
      <w:r>
        <w:t xml:space="preserve">“</w:t>
      </w:r>
      <w:r>
        <w:t xml:space="preserve">great is Indra</w:t>
      </w:r>
      <w:r>
        <w:t xml:space="preserve">”</w:t>
      </w:r>
      <w:r>
        <w:t xml:space="preserve"> </w:t>
      </w:r>
      <w:r>
        <w:t xml:space="preserve">rik with Yāska’s two senses of</w:t>
      </w:r>
      <w:r>
        <w:t xml:space="preserve"> </w:t>
      </w:r>
      <w:r>
        <w:t xml:space="preserve">“</w:t>
      </w:r>
      <w:r>
        <w:t xml:space="preserve">na</w:t>
      </w:r>
      <w:r>
        <w:t xml:space="preserve">”</w:t>
      </w:r>
      <w:r>
        <w:t xml:space="preserve"> </w:t>
      </w:r>
      <w:r>
        <w:t xml:space="preserve">(8.5); the prayer-for-all-seekers rik (8.6); Indra’s Soma-belly simile (8.7);</w:t>
      </w:r>
      <w:r>
        <w:t xml:space="preserve"> </w:t>
      </w:r>
      <w:r>
        <w:t xml:space="preserve">“</w:t>
      </w:r>
      <w:r>
        <w:t xml:space="preserve">sūnṛtā / virapśī / gomatī</w:t>
      </w:r>
      <w:r>
        <w:t xml:space="preserve">”</w:t>
      </w:r>
      <w:r>
        <w:t xml:space="preserve"> </w:t>
      </w:r>
      <w:r>
        <w:t xml:space="preserve">with Skandasvāmī’s thunder-and-rain reading (8.8);</w:t>
      </w:r>
      <w:r>
        <w:t xml:space="preserve"> </w:t>
      </w:r>
      <w:r>
        <w:t xml:space="preserve">“</w:t>
      </w:r>
      <w:r>
        <w:t xml:space="preserve">māvate</w:t>
      </w:r>
      <w:r>
        <w:t xml:space="preserve">”</w:t>
      </w:r>
      <w:r>
        <w:t xml:space="preserve"> </w:t>
      </w:r>
      <w:r>
        <w:t xml:space="preserve">and</w:t>
      </w:r>
      <w:r>
        <w:t xml:space="preserve"> </w:t>
      </w:r>
      <w:r>
        <w:t xml:space="preserve">“</w:t>
      </w:r>
      <w:r>
        <w:t xml:space="preserve">sadyaś cit</w:t>
      </w:r>
      <w:r>
        <w:t xml:space="preserve">”</w:t>
      </w:r>
      <w:r>
        <w:t xml:space="preserve"> </w:t>
      </w:r>
      <w:r>
        <w:t xml:space="preserve">(8.9);</w:t>
      </w:r>
      <w:r>
        <w:t xml:space="preserve"> </w:t>
      </w:r>
      <w:r>
        <w:t xml:space="preserve">“</w:t>
      </w:r>
      <w:r>
        <w:t xml:space="preserve">stoma</w:t>
      </w:r>
      <w:r>
        <w:t xml:space="preserve">”</w:t>
      </w:r>
      <w:r>
        <w:t xml:space="preserve"> </w:t>
      </w:r>
      <w:r>
        <w:t xml:space="preserve">vs</w:t>
      </w:r>
      <w:r>
        <w:t xml:space="preserve"> </w:t>
      </w:r>
      <w:r>
        <w:t xml:space="preserve">“</w:t>
      </w:r>
      <w:r>
        <w:t xml:space="preserve">uktha</w:t>
      </w:r>
      <w:r>
        <w:t xml:space="preserve">”</w:t>
      </w:r>
      <w:r>
        <w:t xml:space="preserve"> </w:t>
      </w:r>
      <w:r>
        <w:t xml:space="preserve">(8.10).</w:t>
      </w:r>
    </w:p>
    <w:p>
      <w:pPr>
        <w:pStyle w:val="BodyText"/>
      </w:pPr>
      <w:r>
        <w:rPr>
          <w:bCs/>
          <w:b/>
        </w:rPr>
        <w:t xml:space="preserve">Next task:</w:t>
      </w:r>
      <w:r>
        <w:t xml:space="preserve"> </w:t>
      </w:r>
      <w:r>
        <w:t xml:space="preserve">begin Sūkta 9 (</w:t>
      </w:r>
      <w:r>
        <w:t xml:space="preserve">“</w:t>
      </w:r>
      <w:r>
        <w:t xml:space="preserve">indrehi matsy andhasaḥ</w:t>
      </w:r>
      <w:r>
        <w:t xml:space="preserve">”</w:t>
      </w:r>
      <w:r>
        <w:t xml:space="preserve">) at printed page 342 (PDF page 357), from its heading — the application note and Rik 1 text are already on that page.</w:t>
      </w:r>
    </w:p>
    <w:p>
      <w:pPr>
        <w:pStyle w:val="BodyText"/>
      </w:pPr>
      <w:r>
        <w:rPr>
          <w:bCs/>
          <w:b/>
        </w:rPr>
        <w:t xml:space="preserve">Open flags:</w:t>
      </w:r>
      <w:r>
        <w:t xml:space="preserve"> </w:t>
      </w:r>
      <w:r>
        <w:t xml:space="preserve">- Varga numbering: re-read at 300 dpi — Sūkta 7’s heading reads</w:t>
      </w:r>
      <w:r>
        <w:t xml:space="preserve"> </w:t>
      </w:r>
      <w:r>
        <w:t xml:space="preserve">“</w:t>
      </w:r>
      <w:r>
        <w:t xml:space="preserve">13, 14</w:t>
      </w:r>
      <w:r>
        <w:t xml:space="preserve">”</w:t>
      </w:r>
      <w:r>
        <w:t xml:space="preserve"> </w:t>
      </w:r>
      <w:r>
        <w:t xml:space="preserve">and Sūkta 8’s</w:t>
      </w:r>
      <w:r>
        <w:t xml:space="preserve"> </w:t>
      </w:r>
      <w:r>
        <w:t xml:space="preserve">“</w:t>
      </w:r>
      <w:r>
        <w:t xml:space="preserve">15, 16</w:t>
      </w:r>
      <w:r>
        <w:t xml:space="preserve">”</w:t>
      </w:r>
      <w:r>
        <w:t xml:space="preserve"> </w:t>
      </w:r>
      <w:r>
        <w:t xml:space="preserve">(small numerals), which fit a two-vargas-per-sūkta run from Sūkta 3 (</w:t>
      </w:r>
      <w:r>
        <w:t xml:space="preserve">“</w:t>
      </w:r>
      <w:r>
        <w:t xml:space="preserve">5, 6</w:t>
      </w:r>
      <w:r>
        <w:t xml:space="preserve">”</w:t>
      </w:r>
      <w:r>
        <w:t xml:space="preserve">) but not the</w:t>
      </w:r>
      <w:r>
        <w:t xml:space="preserve"> </w:t>
      </w:r>
      <w:r>
        <w:t xml:space="preserve">“</w:t>
      </w:r>
      <w:r>
        <w:t xml:space="preserve">eighth varga</w:t>
      </w:r>
      <w:r>
        <w:t xml:space="preserve">”</w:t>
      </w:r>
      <w:r>
        <w:t xml:space="preserve"> </w:t>
      </w:r>
      <w:r>
        <w:t xml:space="preserve">of the Sūkta 6 colophon. The Sūkta 7 heading in this file was corrected from</w:t>
      </w:r>
      <w:r>
        <w:t xml:space="preserve"> </w:t>
      </w:r>
      <w:r>
        <w:t xml:space="preserve">“</w:t>
      </w:r>
      <w:r>
        <w:t xml:space="preserve">9, 10</w:t>
      </w:r>
      <w:r>
        <w:t xml:space="preserve">”</w:t>
      </w:r>
      <w:r>
        <w:t xml:space="preserve"> </w:t>
      </w:r>
      <w:r>
        <w:t xml:space="preserve">to</w:t>
      </w:r>
      <w:r>
        <w:t xml:space="preserve"> </w:t>
      </w:r>
      <w:r>
        <w:t xml:space="preserve">“</w:t>
      </w:r>
      <w:r>
        <w:t xml:space="preserve">13, 14 [?]</w:t>
      </w:r>
      <w:r>
        <w:t xml:space="preserve">”</w:t>
      </w:r>
      <w:r>
        <w:t xml:space="preserve">. Sūkta 9’s heading (p. 342) has not been re-read yet.</w:t>
      </w:r>
      <w:r>
        <w:t xml:space="preserve"> </w:t>
      </w:r>
      <w:r>
        <w:t xml:space="preserve">- A count in Sūkta 7 Rik 4’s Special Topics (</w:t>
      </w:r>
      <w:r>
        <w:t xml:space="preserve">“</w:t>
      </w:r>
      <w:r>
        <w:t xml:space="preserve">sixty-six</w:t>
      </w:r>
      <w:r>
        <w:t xml:space="preserve">”</w:t>
      </w:r>
      <w:r>
        <w:t xml:space="preserve">) was corrected to</w:t>
      </w:r>
      <w:r>
        <w:t xml:space="preserve"> </w:t>
      </w:r>
      <w:r>
        <w:t xml:space="preserve">“</w:t>
      </w:r>
      <w:r>
        <w:t xml:space="preserve">forty-six</w:t>
      </w:r>
      <w:r>
        <w:t xml:space="preserve">”</w:t>
      </w:r>
      <w:r>
        <w:t xml:space="preserve"> </w:t>
      </w:r>
      <w:r>
        <w:t xml:space="preserve">after the same Nirukta count printed clearly under Sūkta 8, Rik 6.</w:t>
      </w:r>
      <w:r>
        <w:t xml:space="preserve"> </w:t>
      </w:r>
      <w:r>
        <w:t xml:space="preserve">- No printed English block for Rik 8.8 (checked on pp. 332–333); the source leaves it out, as it did for Rik 7.6 in Sūkta 7.</w:t>
      </w:r>
      <w:r>
        <w:t xml:space="preserve"> </w:t>
      </w:r>
      <w:r>
        <w:t xml:space="preserve">- Reference numerals (Nirukta, Nighaṇṭu, Uṇādi, Phiṭ, Pāṇini, Ṛgveda mantra numbers, Āśvalāyana/Aitareya/Āraṇyaka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378"/>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2026-10-02T16:49:07Z</dcterms:created>
  <dcterms:modified xsi:type="dcterms:W3CDTF">2026-10-02T16:49:07Z</dcterms:modified>
</cp:coreProperties>
</file>

<file path=docProps/custom.xml><?xml version="1.0" encoding="utf-8"?>
<Properties xmlns="http://schemas.openxmlformats.org/officeDocument/2006/custom-properties" xmlns:vt="http://schemas.openxmlformats.org/officeDocument/2006/docPropsVTypes"/>
</file>