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7"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36"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p>
      <w:r>
        <w:pict>
          <v:rect style="width:0;height:1.5pt" o:hralign="center" o:hrstd="t" o:hr="t"/>
        </w:pict>
      </w:r>
    </w:p>
    <w:p>
      <w:pPr>
        <w:pStyle w:val="FirstParagraph"/>
      </w:pPr>
      <w:r>
        <w:rPr>
          <w:bCs/>
          <w:b/>
        </w:rPr>
        <w:t xml:space="preserve">Progress note — printed page 63 reached; Sūkta 21 complete; Sūkta 22 opened (application note only).</w:t>
      </w:r>
    </w:p>
    <w:p>
      <w:pPr>
        <w:pStyle w:val="BodyText"/>
      </w:pPr>
      <w:r>
        <w:rPr>
          <w:bCs/>
          <w:b/>
        </w:rPr>
        <w:t xml:space="preserve">This batch:</w:t>
      </w:r>
      <w:r>
        <w:t xml:space="preserve"> </w:t>
      </w:r>
      <w:r>
        <w:t xml:space="preserve">Rik 6 of Sūkta 21 (printed pp. 59–62), completing Sūkta 21 (</w:t>
      </w:r>
      <w:r>
        <w:rPr>
          <w:iCs/>
          <w:i/>
        </w:rPr>
        <w:t xml:space="preserve">ihendrāgnī upa hvaye</w:t>
      </w:r>
      <w:r>
        <w:t xml:space="preserve">, six riks, to Indra and Agni; Medhātithi Kāṇva; Gāyatrī); and the opening of Sūkta 22 — the application note and Anuvāda on printed pp. 62–63.</w:t>
      </w:r>
    </w:p>
    <w:p>
      <w:pPr>
        <w:pStyle w:val="BodyText"/>
      </w:pPr>
      <w:r>
        <w:rPr>
          <w:bCs/>
          <w:b/>
        </w:rPr>
        <w:t xml:space="preserve">Next task:</w:t>
      </w:r>
      <w:r>
        <w:t xml:space="preserve"> </w:t>
      </w:r>
      <w:r>
        <w:t xml:space="preserve">continue Sūkta 22 (</w:t>
      </w:r>
      <w:r>
        <w:rPr>
          <w:iCs/>
          <w:i/>
        </w:rPr>
        <w:t xml:space="preserve">prātaryujā vibodhaya</w:t>
      </w:r>
      <w:r>
        <w:t xml:space="preserve">, to the Aśvins and many other deities; twenty-one riks; the fifth sūkta of the fifth anuvāka) with its heading block and Rik 1 on printed p. 64 (PDF page 79). Sūkta 22 is very long (printed pp. 62–140); Sūkta 23 begins at p. 141.</w:t>
      </w:r>
      <w:r>
        <w:t xml:space="preserve"> </w:t>
      </w:r>
      <w:r>
        <w:rPr>
          <w:bCs/>
          <w:b/>
        </w:rPr>
        <w:t xml:space="preserve">Because Sūkta 22 is about 78 pages, it should be done in several sessions; the</w:t>
      </w:r>
      <w:r>
        <w:rPr>
          <w:bCs/>
          <w:b/>
        </w:rPr>
        <w:t xml:space="preserve"> </w:t>
      </w:r>
      <w:r>
        <w:rPr>
          <w:bCs/>
          <w:b/>
        </w:rPr>
        <w:t xml:space="preserve">‘</w:t>
      </w:r>
      <w:r>
        <w:rPr>
          <w:bCs/>
          <w:b/>
        </w:rPr>
        <w:t xml:space="preserve">one session per sūkta</w:t>
      </w:r>
      <w:r>
        <w:rPr>
          <w:bCs/>
          <w:b/>
        </w:rPr>
        <w:t xml:space="preserve">’</w:t>
      </w:r>
      <w:r>
        <w:rPr>
          <w:bCs/>
          <w:b/>
        </w:rPr>
        <w:t xml:space="preserve"> </w:t>
      </w:r>
      <w:r>
        <w:rPr>
          <w:bCs/>
          <w:b/>
        </w:rPr>
        <w:t xml:space="preserve">rule cannot be kept for it.</w:t>
      </w:r>
    </w:p>
    <w:p>
      <w:pPr>
        <w:pStyle w:val="BodyText"/>
      </w:pPr>
      <w:r>
        <w:rPr>
          <w:bCs/>
          <w:b/>
        </w:rPr>
        <w:t xml:space="preserve">Open flags:</w:t>
      </w:r>
      <w:r>
        <w:t xml:space="preserve"> </w:t>
      </w:r>
      <w:r>
        <w:t xml:space="preserve">- Sūkta 21: the Āśvalāyana numerals in the application note ([5-10], [7-3]) are uncertain [?]; the heading’s varga numeral</w:t>
      </w:r>
      <w:r>
        <w:t xml:space="preserve"> </w:t>
      </w:r>
      <w:r>
        <w:t xml:space="preserve">“</w:t>
      </w:r>
      <w:r>
        <w:t xml:space="preserve">3 [?]</w:t>
      </w:r>
      <w:r>
        <w:t xml:space="preserve">”</w:t>
      </w:r>
      <w:r>
        <w:t xml:space="preserve">; the Rik 1, 3, 5 grammar passages and the Rik 6 grammar on</w:t>
      </w:r>
      <w:r>
        <w:t xml:space="preserve"> </w:t>
      </w:r>
      <w:r>
        <w:rPr>
          <w:iCs/>
          <w:i/>
        </w:rPr>
        <w:t xml:space="preserve">yacchatam</w:t>
      </w:r>
      <w:r>
        <w:t xml:space="preserve"> </w:t>
      </w:r>
      <w:r>
        <w:t xml:space="preserve">are given in outline; Skandasvāmin’s Sanskrit on</w:t>
      </w:r>
      <w:r>
        <w:t xml:space="preserve"> </w:t>
      </w:r>
      <w:r>
        <w:rPr>
          <w:iCs/>
          <w:i/>
        </w:rPr>
        <w:t xml:space="preserve">ubjatam</w:t>
      </w:r>
      <w:r>
        <w:t xml:space="preserve"> </w:t>
      </w:r>
      <w:r>
        <w:t xml:space="preserve">is garbled and given only as sense.</w:t>
      </w:r>
      <w:r>
        <w:t xml:space="preserve"> </w:t>
      </w:r>
      <w:r>
        <w:t xml:space="preserve">- Sūkta 22: the Anukramaṇikā quotation and its rik-count statement (</w:t>
      </w:r>
      <w:r>
        <w:t xml:space="preserve">‘</w:t>
      </w:r>
      <w:r>
        <w:t xml:space="preserve">twenty, with one more</w:t>
      </w:r>
      <w:r>
        <w:t xml:space="preserve">’</w:t>
      </w:r>
      <w:r>
        <w:t xml:space="preserve">), and the reading</w:t>
      </w:r>
      <w:r>
        <w:t xml:space="preserve"> </w:t>
      </w:r>
      <w:r>
        <w:rPr>
          <w:iCs/>
          <w:i/>
        </w:rPr>
        <w:t xml:space="preserve">kṛṣṇa-devatyā</w:t>
      </w:r>
      <w:r>
        <w:t xml:space="preserve"> </w:t>
      </w:r>
      <w:r>
        <w:t xml:space="preserve">for the sixteenth rik, are uncertain [?]; the Anuvāda’s statement of the count is itself slightly confused in the print and is given as read.</w:t>
      </w:r>
      <w:r>
        <w:t xml:space="preserve"> </w:t>
      </w:r>
      <w:r>
        <w:t xml:space="preserve">- Sūkta 20 flags carried over: the Anukramaṇikā quotation in its application note, my homage-verse English, the tentative gloss of Ṛ. 1-110-4, and grammar in outline (Riks 3, 6, 7, 8).</w:t>
      </w:r>
      <w:r>
        <w:t xml:space="preserve"> </w:t>
      </w:r>
      <w:r>
        <w:t xml:space="preserve">- Varga numerals and Ṛgveda/Nirukta reference numerals marked [?] where unclear.</w:t>
      </w:r>
      <w:r>
        <w:t xml:space="preserve"> </w:t>
      </w:r>
      <w:r>
        <w:t xml:space="preserve">- The preface (PDF pp. 8–10), the abbreviations list (PDF p. 11) and the portrait pages are not translated.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2026-10-03T08:22:59Z</dcterms:created>
  <dcterms:modified xsi:type="dcterms:W3CDTF">2026-10-03T08:22:59Z</dcterms:modified>
</cp:coreProperties>
</file>

<file path=docProps/custom.xml><?xml version="1.0" encoding="utf-8"?>
<Properties xmlns="http://schemas.openxmlformats.org/officeDocument/2006/custom-properties" xmlns:vt="http://schemas.openxmlformats.org/officeDocument/2006/docPropsVTypes"/>
</file>