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USCIS EB-1 Policy Q&amp;A</w:t>
      </w:r>
    </w:p>
    <w:p>
      <w:r>
        <w:rPr>
          <w:color w:val="147D92"/>
          <w:sz w:val="24"/>
        </w:rPr>
        <w:t>Cited answers from a dated policy snapshot</w:t>
      </w:r>
    </w:p>
    <w:tbl>
      <w:tblPr>
        <w:tblStyle w:val="TableGrid"/>
        <w:tblW w:type="auto" w:w="0"/>
        <w:tblLayout w:type="fixed"/>
        <w:tblLook w:firstColumn="1" w:firstRow="1" w:lastColumn="0" w:lastRow="0" w:noHBand="0" w:noVBand="1" w:val="04A0"/>
      </w:tblPr>
      <w:tblGrid>
        <w:gridCol w:w="2088"/>
        <w:gridCol w:w="7776"/>
      </w:tblGrid>
      <w:tr>
        <w:trPr>
          <w:cantSplit/>
          <w:tblHeader w:val="true"/>
        </w:trPr>
        <w:tc>
          <w:tcPr>
            <w:tcW w:type="dxa" w:w="2088"/>
            <w:shd w:fill="17365D"/>
          </w:tcPr>
          <w:p>
            <w:pPr>
              <w:spacing w:after="80" w:before="80" w:line="252" w:lineRule="auto"/>
            </w:pPr>
            <w:r>
              <w:rPr>
                <w:b/>
                <w:color w:val="FFFFFF"/>
                <w:sz w:val="19"/>
              </w:rPr>
              <w:t>Project details</w:t>
            </w:r>
          </w:p>
        </w:tc>
        <w:tc>
          <w:tcPr>
            <w:tcW w:type="dxa" w:w="7776"/>
            <w:shd w:fill="17365D"/>
          </w:tcPr>
          <w:p>
            <w:pPr>
              <w:spacing w:after="80" w:before="80" w:line="252" w:lineRule="auto"/>
            </w:pPr>
            <w:r>
              <w:rPr>
                <w:b/>
                <w:color w:val="FFFFFF"/>
                <w:sz w:val="19"/>
              </w:rPr>
              <w:t>Submission information</w:t>
            </w:r>
          </w:p>
        </w:tc>
      </w:tr>
      <w:tr>
        <w:trPr>
          <w:cantSplit/>
        </w:trPr>
        <w:tc>
          <w:tcPr>
            <w:tcW w:type="dxa" w:w="2088"/>
          </w:tcPr>
          <w:p>
            <w:pPr>
              <w:spacing w:after="80" w:before="80" w:line="252" w:lineRule="auto"/>
            </w:pPr>
            <w:r>
              <w:rPr>
                <w:sz w:val="19"/>
              </w:rPr>
              <w:t>Author</w:t>
            </w:r>
          </w:p>
        </w:tc>
        <w:tc>
          <w:tcPr>
            <w:tcW w:type="dxa" w:w="7776"/>
          </w:tcPr>
          <w:p>
            <w:pPr>
              <w:spacing w:after="80" w:before="80" w:line="252" w:lineRule="auto"/>
            </w:pPr>
            <w:r>
              <w:rPr>
                <w:sz w:val="19"/>
              </w:rPr>
              <w:t>[Your name]</w:t>
            </w:r>
          </w:p>
        </w:tc>
      </w:tr>
      <w:tr>
        <w:trPr>
          <w:cantSplit/>
        </w:trPr>
        <w:tc>
          <w:tcPr>
            <w:tcW w:type="dxa" w:w="2088"/>
            <w:shd w:fill="F0F5F8"/>
          </w:tcPr>
          <w:p>
            <w:pPr>
              <w:spacing w:after="80" w:before="80" w:line="252" w:lineRule="auto"/>
            </w:pPr>
            <w:r>
              <w:rPr>
                <w:sz w:val="19"/>
              </w:rPr>
              <w:t>Milestone</w:t>
            </w:r>
          </w:p>
        </w:tc>
        <w:tc>
          <w:tcPr>
            <w:tcW w:type="dxa" w:w="7776"/>
            <w:shd w:fill="F0F5F8"/>
          </w:tcPr>
          <w:p>
            <w:pPr>
              <w:spacing w:after="80" w:before="80" w:line="252" w:lineRule="auto"/>
            </w:pPr>
            <w:r>
              <w:rPr>
                <w:sz w:val="19"/>
              </w:rPr>
              <w:t>Week 2 — custom use case</w:t>
            </w:r>
          </w:p>
        </w:tc>
      </w:tr>
      <w:tr>
        <w:trPr>
          <w:cantSplit/>
        </w:trPr>
        <w:tc>
          <w:tcPr>
            <w:tcW w:type="dxa" w:w="2088"/>
          </w:tcPr>
          <w:p>
            <w:pPr>
              <w:spacing w:after="80" w:before="80" w:line="252" w:lineRule="auto"/>
            </w:pPr>
            <w:r>
              <w:rPr>
                <w:sz w:val="19"/>
              </w:rPr>
              <w:t>GitHub repository</w:t>
            </w:r>
          </w:p>
        </w:tc>
        <w:tc>
          <w:tcPr>
            <w:tcW w:type="dxa" w:w="7776"/>
          </w:tcPr>
          <w:p>
            <w:pPr>
              <w:spacing w:after="80" w:before="80" w:line="252" w:lineRule="auto"/>
            </w:pPr>
            <w:hyperlink r:id="rId11">
              <w:r>
                <w:rPr>
                  <w:color w:val="147D92"/>
                  <w:u w:val="single"/>
                </w:rPr>
                <w:t>eb1-policy-qa-week2</w:t>
              </w:r>
            </w:hyperlink>
          </w:p>
        </w:tc>
      </w:tr>
      <w:tr>
        <w:trPr>
          <w:cantSplit/>
        </w:trPr>
        <w:tc>
          <w:tcPr>
            <w:tcW w:type="dxa" w:w="2088"/>
            <w:shd w:fill="F0F5F8"/>
          </w:tcPr>
          <w:p>
            <w:pPr>
              <w:spacing w:after="80" w:before="80" w:line="252" w:lineRule="auto"/>
            </w:pPr>
            <w:r>
              <w:rPr>
                <w:sz w:val="19"/>
              </w:rPr>
              <w:t>Policy snapshot</w:t>
            </w:r>
          </w:p>
        </w:tc>
        <w:tc>
          <w:tcPr>
            <w:tcW w:type="dxa" w:w="7776"/>
            <w:shd w:fill="F0F5F8"/>
          </w:tcPr>
          <w:p>
            <w:pPr>
              <w:spacing w:after="80" w:before="80" w:line="252" w:lineRule="auto"/>
            </w:pPr>
            <w:r>
              <w:rPr>
                <w:sz w:val="19"/>
              </w:rPr>
              <w:t>September 23, 2026 — Volume 6, Part F, Chapters 2–3</w:t>
            </w:r>
          </w:p>
        </w:tc>
      </w:tr>
      <w:tr>
        <w:trPr>
          <w:cantSplit/>
        </w:trPr>
        <w:tc>
          <w:tcPr>
            <w:tcW w:type="dxa" w:w="2088"/>
          </w:tcPr>
          <w:p>
            <w:pPr>
              <w:spacing w:after="80" w:before="80" w:line="252" w:lineRule="auto"/>
            </w:pPr>
            <w:r>
              <w:rPr>
                <w:sz w:val="19"/>
              </w:rPr>
              <w:t>Implementation status</w:t>
            </w:r>
          </w:p>
        </w:tc>
        <w:tc>
          <w:tcPr>
            <w:tcW w:type="dxa" w:w="7776"/>
          </w:tcPr>
          <w:p>
            <w:pPr>
              <w:spacing w:after="80" w:before="80" w:line="252" w:lineRule="auto"/>
            </w:pPr>
            <w:r>
              <w:rPr>
                <w:sz w:val="19"/>
              </w:rPr>
              <w:t>Implemented; 13 standalone tests passed locally and GitHub Actions passed.</w:t>
            </w:r>
          </w:p>
        </w:tc>
      </w:tr>
      <w:tr>
        <w:trPr>
          <w:cantSplit/>
        </w:trPr>
        <w:tc>
          <w:tcPr>
            <w:tcW w:type="dxa" w:w="2088"/>
            <w:shd w:fill="F0F5F8"/>
          </w:tcPr>
          <w:p>
            <w:pPr>
              <w:spacing w:after="80" w:before="80" w:line="252" w:lineRule="auto"/>
            </w:pPr>
            <w:r>
              <w:rPr>
                <w:sz w:val="19"/>
              </w:rPr>
              <w:t>Execution</w:t>
            </w:r>
          </w:p>
        </w:tc>
        <w:tc>
          <w:tcPr>
            <w:tcW w:type="dxa" w:w="7776"/>
            <w:shd w:fill="F0F5F8"/>
          </w:tcPr>
          <w:p>
            <w:pPr>
              <w:spacing w:after="80" w:before="80" w:line="252" w:lineRule="auto"/>
            </w:pPr>
            <w:r>
              <w:rPr>
                <w:sz w:val="19"/>
              </w:rPr>
              <w:t>Local Streamlit app; no app login. Live requests use a locally configured Nebius API key.</w:t>
            </w:r>
          </w:p>
        </w:tc>
      </w:tr>
    </w:tbl>
    <w:p>
      <w:pPr>
        <w:spacing w:after="0"/>
      </w:pPr>
    </w:p>
    <w:p>
      <w:pPr>
        <w:pStyle w:val="Heading1"/>
      </w:pPr>
      <w:r>
        <w:t>Overview and one-liner</w:t>
      </w:r>
    </w:p>
    <w:p>
      <w:r>
        <w:t>My RAG app helps applicants research EB-1A and EB-1B policy questions from a dated, two-chapter USCIS Policy Manual snapshot in a Streamlit web app, targeting at least 90% supported factual claims and p95 response latency under 15 seconds.</w:t>
      </w:r>
    </w:p>
    <w:p>
      <w:r>
        <w:t>This is the permitted custom-use-case route, adapting the Enterprise Policy Q&amp;A pattern. It implements ingestion, cleaning, chunking, embeddings, persistent storage, hybrid retrieval, reranking, cited generation and refusal/clarification. It does not predict personal immigration outcomes.</w:t>
      </w:r>
    </w:p>
    <w:p>
      <w:pPr>
        <w:pStyle w:val="Heading1"/>
      </w:pPr>
      <w:r>
        <w:t>Planning framework</w:t>
      </w:r>
    </w:p>
    <w:tbl>
      <w:tblPr>
        <w:tblStyle w:val="TableGrid"/>
        <w:tblW w:type="auto" w:w="0"/>
        <w:tblLayout w:type="fixed"/>
        <w:tblLook w:firstColumn="1" w:firstRow="1" w:lastColumn="0" w:lastRow="0" w:noHBand="0" w:noVBand="1" w:val="04A0"/>
      </w:tblPr>
      <w:tblGrid>
        <w:gridCol w:w="2088"/>
        <w:gridCol w:w="7776"/>
      </w:tblGrid>
      <w:tr>
        <w:trPr>
          <w:cantSplit/>
          <w:tblHeader w:val="true"/>
        </w:trPr>
        <w:tc>
          <w:tcPr>
            <w:tcW w:type="dxa" w:w="2088"/>
            <w:shd w:fill="17365D"/>
          </w:tcPr>
          <w:p>
            <w:pPr>
              <w:spacing w:after="80" w:before="80" w:line="252" w:lineRule="auto"/>
            </w:pPr>
            <w:r>
              <w:rPr>
                <w:b/>
                <w:color w:val="FFFFFF"/>
                <w:sz w:val="19"/>
              </w:rPr>
              <w:t>Planning field</w:t>
            </w:r>
          </w:p>
        </w:tc>
        <w:tc>
          <w:tcPr>
            <w:tcW w:type="dxa" w:w="7776"/>
            <w:shd w:fill="17365D"/>
          </w:tcPr>
          <w:p>
            <w:pPr>
              <w:spacing w:after="80" w:before="80" w:line="252" w:lineRule="auto"/>
            </w:pPr>
            <w:r>
              <w:rPr>
                <w:b/>
                <w:color w:val="FFFFFF"/>
                <w:sz w:val="19"/>
              </w:rPr>
              <w:t>Decision</w:t>
            </w:r>
          </w:p>
        </w:tc>
      </w:tr>
      <w:tr>
        <w:trPr>
          <w:cantSplit/>
        </w:trPr>
        <w:tc>
          <w:tcPr>
            <w:tcW w:type="dxa" w:w="2088"/>
          </w:tcPr>
          <w:p>
            <w:pPr>
              <w:spacing w:after="80" w:before="80" w:line="252" w:lineRule="auto"/>
            </w:pPr>
            <w:r>
              <w:rPr>
                <w:sz w:val="19"/>
              </w:rPr>
              <w:t>Use case</w:t>
            </w:r>
          </w:p>
        </w:tc>
        <w:tc>
          <w:tcPr>
            <w:tcW w:type="dxa" w:w="7776"/>
          </w:tcPr>
          <w:p>
            <w:pPr>
              <w:spacing w:after="80" w:before="80" w:line="252" w:lineRule="auto"/>
            </w:pPr>
            <w:r>
              <w:rPr>
                <w:sz w:val="19"/>
              </w:rPr>
              <w:t>Cited explanations of the selected policy chapters.</w:t>
            </w:r>
          </w:p>
        </w:tc>
      </w:tr>
      <w:tr>
        <w:trPr>
          <w:cantSplit/>
        </w:trPr>
        <w:tc>
          <w:tcPr>
            <w:tcW w:type="dxa" w:w="2088"/>
            <w:shd w:fill="F0F5F8"/>
          </w:tcPr>
          <w:p>
            <w:pPr>
              <w:spacing w:after="80" w:before="80" w:line="252" w:lineRule="auto"/>
            </w:pPr>
            <w:r>
              <w:rPr>
                <w:sz w:val="19"/>
              </w:rPr>
              <w:t>Corpus</w:t>
            </w:r>
          </w:p>
        </w:tc>
        <w:tc>
          <w:tcPr>
            <w:tcW w:type="dxa" w:w="7776"/>
            <w:shd w:fill="F0F5F8"/>
          </w:tcPr>
          <w:p>
            <w:pPr>
              <w:spacing w:after="80" w:before="80" w:line="252" w:lineRule="auto"/>
            </w:pPr>
            <w:r>
              <w:rPr>
                <w:sz w:val="19"/>
              </w:rPr>
              <w:t>Two English chapters, derived from 23 pages in the user's 105-page public USCIS excerpt; USCIS owns the source of truth.</w:t>
            </w:r>
          </w:p>
        </w:tc>
      </w:tr>
      <w:tr>
        <w:trPr>
          <w:cantSplit/>
        </w:trPr>
        <w:tc>
          <w:tcPr>
            <w:tcW w:type="dxa" w:w="2088"/>
          </w:tcPr>
          <w:p>
            <w:pPr>
              <w:spacing w:after="80" w:before="80" w:line="252" w:lineRule="auto"/>
            </w:pPr>
            <w:r>
              <w:rPr>
                <w:sz w:val="19"/>
              </w:rPr>
              <w:t>Ingestion and cleaning</w:t>
            </w:r>
          </w:p>
        </w:tc>
        <w:tc>
          <w:tcPr>
            <w:tcW w:type="dxa" w:w="7776"/>
          </w:tcPr>
          <w:p>
            <w:pPr>
              <w:spacing w:after="80" w:before="80" w:line="252" w:lineRule="auto"/>
            </w:pPr>
            <w:r>
              <w:rPr>
                <w:sz w:val="19"/>
              </w:rPr>
              <w:t>LlamaParse OCR after local orientation correction, preserve tables/footnotes/headings, trim adjacent chapters, retain source hash and page mapping.</w:t>
            </w:r>
          </w:p>
        </w:tc>
      </w:tr>
      <w:tr>
        <w:trPr>
          <w:cantSplit/>
        </w:trPr>
        <w:tc>
          <w:tcPr>
            <w:tcW w:type="dxa" w:w="2088"/>
            <w:shd w:fill="F0F5F8"/>
          </w:tcPr>
          <w:p>
            <w:pPr>
              <w:spacing w:after="80" w:before="80" w:line="252" w:lineRule="auto"/>
            </w:pPr>
            <w:r>
              <w:rPr>
                <w:sz w:val="19"/>
              </w:rPr>
              <w:t>Freshness</w:t>
            </w:r>
          </w:p>
        </w:tc>
        <w:tc>
          <w:tcPr>
            <w:tcW w:type="dxa" w:w="7776"/>
            <w:shd w:fill="F0F5F8"/>
          </w:tcPr>
          <w:p>
            <w:pPr>
              <w:spacing w:after="80" w:before="80" w:line="252" w:lineRule="auto"/>
            </w:pPr>
            <w:r>
              <w:rPr>
                <w:sz w:val="19"/>
              </w:rPr>
              <w:t>Show the snapshot date; the owner checks monthly and on USCIS update notices. Target refresh within two working days of receiving a new export, with a corpus/index rebuild before use. This is an operating commitment, not an automated refresh service.</w:t>
            </w:r>
          </w:p>
        </w:tc>
      </w:tr>
      <w:tr>
        <w:trPr>
          <w:cantSplit/>
        </w:trPr>
        <w:tc>
          <w:tcPr>
            <w:tcW w:type="dxa" w:w="2088"/>
          </w:tcPr>
          <w:p>
            <w:pPr>
              <w:spacing w:after="80" w:before="80" w:line="252" w:lineRule="auto"/>
            </w:pPr>
            <w:r>
              <w:rPr>
                <w:sz w:val="19"/>
              </w:rPr>
              <w:t>Chunking and embedding</w:t>
            </w:r>
          </w:p>
        </w:tc>
        <w:tc>
          <w:tcPr>
            <w:tcW w:type="dxa" w:w="7776"/>
          </w:tcPr>
          <w:p>
            <w:pPr>
              <w:spacing w:after="80" w:before="80" w:line="252" w:lineRule="auto"/>
            </w:pPr>
            <w:r>
              <w:rPr>
                <w:sz w:val="19"/>
              </w:rPr>
              <w:t xml:space="preserve">Split by section and page with a 550-token cap and 70-token overlap. Nebius </w:t>
            </w:r>
            <w:r>
              <w:rPr>
                <w:rFonts w:ascii="Consolas" w:hAnsi="Consolas"/>
                <w:sz w:val="19"/>
              </w:rPr>
              <w:t>Qwen/Qwen3-Embedding-8B</w:t>
            </w:r>
            <w:r>
              <w:rPr>
                <w:sz w:val="19"/>
              </w:rPr>
              <w:t xml:space="preserve"> returns 4,096 dimensions; retain table headings and page provenance.</w:t>
            </w:r>
          </w:p>
        </w:tc>
      </w:tr>
      <w:tr>
        <w:trPr>
          <w:cantSplit/>
        </w:trPr>
        <w:tc>
          <w:tcPr>
            <w:tcW w:type="dxa" w:w="2088"/>
            <w:shd w:fill="F0F5F8"/>
          </w:tcPr>
          <w:p>
            <w:pPr>
              <w:spacing w:after="80" w:before="80" w:line="252" w:lineRule="auto"/>
            </w:pPr>
            <w:r>
              <w:rPr>
                <w:sz w:val="19"/>
              </w:rPr>
              <w:t>Retrieval</w:t>
            </w:r>
          </w:p>
        </w:tc>
        <w:tc>
          <w:tcPr>
            <w:tcW w:type="dxa" w:w="7776"/>
            <w:shd w:fill="F0F5F8"/>
          </w:tcPr>
          <w:p>
            <w:pPr>
              <w:spacing w:after="80" w:before="80" w:line="252" w:lineRule="auto"/>
            </w:pPr>
            <w:r>
              <w:rPr>
                <w:sz w:val="19"/>
              </w:rPr>
              <w:t>Local vector search plus BM25; combine candidate ranks, rerank a small candidate set, pass top four passages to generation.</w:t>
            </w:r>
          </w:p>
        </w:tc>
      </w:tr>
    </w:tbl>
    <w:p>
      <w:pPr>
        <w:spacing w:after="0"/>
      </w:pPr>
    </w:p>
    <w:p>
      <w:pPr>
        <w:pStyle w:val="Heading1"/>
      </w:pPr>
      <w:r>
        <w:t>Dataset and framework</w:t>
      </w:r>
    </w:p>
    <w:p>
      <w:r>
        <w:t>The supplied 105-page public employment-based policy PDF contains the two selected chapters on 23 unique source pages. LlamaParse agentic OCR produced page-aware Markdown after direct PDF extraction proved garbled. The original was preserved. The corpus contains two English chapter documents and 65 retrieval chunks; USCIS is the source of truth. The print/snapshot date is September 23, 2026, not the effective date of every provision.</w:t>
      </w:r>
    </w:p>
    <w:p>
      <w:r>
        <w:t xml:space="preserve">Chunking is page/section-aware, capped at 550 tokens with 70-token overlap. </w:t>
      </w:r>
      <w:r>
        <w:rPr>
          <w:rFonts w:ascii="Consolas" w:hAnsi="Consolas"/>
          <w:sz w:val="18"/>
        </w:rPr>
        <w:t>Qwen/Qwen3-Embedding-8B</w:t>
      </w:r>
      <w:r>
        <w:t xml:space="preserve"> on Nebius produces 4,096-dimensional vectors. Local NumPy storage is sufficient for this small corpus; BM25 provides keyword matching. Reciprocal-rank fusion supplies ten candidates for model reranking, then four passages go into answer generation. Generation and reranking use </w:t>
      </w:r>
      <w:r>
        <w:rPr>
          <w:rFonts w:ascii="Consolas" w:hAnsi="Consolas"/>
          <w:sz w:val="18"/>
        </w:rPr>
        <w:t>Qwen/Qwen3-235B-A22B-Instruct-2507</w:t>
      </w:r>
      <w:r>
        <w:t>.</w:t>
      </w:r>
    </w:p>
    <w:p>
      <w:r>
        <w:t xml:space="preserve">The owner checks for source updates monthly and on USCIS notices, targeting refresh within two working days of receiving a new export. Refresh is manual; corpus changes require a rebuilt index. The full six-field framework is in </w:t>
      </w:r>
      <w:hyperlink r:id="rId12">
        <w:r>
          <w:rPr>
            <w:color w:val="147D92"/>
            <w:u w:val="single"/>
          </w:rPr>
          <w:t>docs/PROJECT_PLAN.md</w:t>
        </w:r>
      </w:hyperlink>
      <w:r>
        <w:t>.</w:t>
      </w:r>
    </w:p>
    <w:p>
      <w:pPr>
        <w:pStyle w:val="Heading1"/>
      </w:pPr>
      <w:r>
        <w:t>Instructions and AI coding assistance</w:t>
      </w:r>
    </w:p>
    <w:p>
      <w:r>
        <w:t xml:space="preserve">The answer instruction requires the model to use only supplied evidence, clarify ambiguous categories, refuse unsupported requests, and select exact source evidence IDs for each claim. Code supplies the quote and page reference; the model cannot invent a citation identifier. Exact runtime prompts are in </w:t>
      </w:r>
      <w:hyperlink r:id="rId13">
        <w:r>
          <w:rPr>
            <w:color w:val="147D92"/>
            <w:u w:val="single"/>
          </w:rPr>
          <w:t>eb1/qa.py</w:t>
        </w:r>
      </w:hyperlink>
      <w:r>
        <w:t xml:space="preserve"> and </w:t>
      </w:r>
      <w:hyperlink r:id="rId14">
        <w:r>
          <w:rPr>
            <w:color w:val="147D92"/>
            <w:u w:val="single"/>
          </w:rPr>
          <w:t>eb1/retrieval.py</w:t>
        </w:r>
      </w:hyperlink>
      <w:r>
        <w:t>.</w:t>
      </w:r>
    </w:p>
    <w:p>
      <w:r>
        <w:t>The initial scoping requests included a simple project that covers both handouts, uses existing Nebius/LlamaCloud credits, and can be completed quickly. Codex was asked to proceed with implementation in the selected local folder. Codex wrote original Python/Streamlit code, prepared the corpus, ran live evaluations and revised failure cases. The Academy solution kit informed the pattern but its implementation was not copied.</w:t>
      </w:r>
    </w:p>
    <w:p>
      <w:r>
        <w:t>Selected user prompts given to Codex, reproduced verbatim:</w:t>
      </w:r>
    </w:p>
    <w:p>
      <w:pPr>
        <w:pStyle w:val="ListBullet"/>
      </w:pPr>
      <w:r>
        <w:t>"Let's consider a simple project that can check all boxes laid out in the week2 and 3 files but can be wrapped up sooner, using any public repositories"</w:t>
      </w:r>
    </w:p>
    <w:p>
      <w:pPr>
        <w:pStyle w:val="ListBullet"/>
      </w:pPr>
      <w:r>
        <w:t>"I have downloaded the Policy manual and created a pdf for the pages covering Employment based immigration"</w:t>
      </w:r>
    </w:p>
    <w:p>
      <w:pPr>
        <w:pStyle w:val="Heading1"/>
      </w:pPr>
      <w:r>
        <w:t>Evaluation, iterations and learnings</w:t>
      </w:r>
    </w:p>
    <w:p>
      <w:r>
        <w:t>Fifteen original questions cover six direct questions, three cross-chapter questions, three ambiguous requests and three unsupported requests. Gold passages and expected behavior were defined before evaluation. Dense retrieval is compared with hybrid retrieval plus reranking. The evaluation report includes measured retrieval scores, latency, citation checks, claim-support review and a retained failure.</w:t>
      </w:r>
    </w:p>
    <w:p>
      <w:r>
        <w:t>Main iterations: preserve table headings during cleaning; replace model-generated quotations with evidence-ID selection; add explicit category clarification; reduce tangential claims; replace the smaller generation model after source review revealed overbroad statements. Valid source IDs alone do not prove a claim is supported. The final model still produced one overbroad 'mandatory criterion' statement, documented as a failure.</w:t>
      </w:r>
    </w:p>
    <w:p>
      <w:r>
        <w:t xml:space="preserve">See </w:t>
      </w:r>
      <w:hyperlink r:id="rId15">
        <w:r>
          <w:rPr>
            <w:color w:val="147D92"/>
            <w:u w:val="single"/>
          </w:rPr>
          <w:t>docs/WEEK2_EVALUATION.md</w:t>
        </w:r>
      </w:hyperlink>
      <w:r>
        <w:t xml:space="preserve"> and </w:t>
      </w:r>
      <w:hyperlink r:id="rId16">
        <w:r>
          <w:rPr>
            <w:color w:val="147D92"/>
            <w:u w:val="single"/>
          </w:rPr>
          <w:t>evals/</w:t>
        </w:r>
      </w:hyperlink>
      <w:r>
        <w:t xml:space="preserve"> for actual measurements. This small development set was used to improve the app, so results should not be described as unseen-test performance.</w:t>
      </w:r>
    </w:p>
    <w:p>
      <w:pPr>
        <w:pStyle w:val="Heading1"/>
      </w:pPr>
      <w:r>
        <w:t>Architecture and data handling</w:t>
      </w:r>
    </w:p>
    <w:p>
      <w:r>
        <w:t>Public USCIS PDF → LlamaParse OCR → page-aware Markdown → LangChain chunks → Nebius embeddings → local vectors and BM25 → rank fusion and reranking → cited answer with exact evidence.</w:t>
      </w:r>
    </w:p>
    <w:p>
      <w:r>
        <w:t>The retrieval index is stored locally on the app server. Public policy text and precomputed vectors are included in the repository. Candidate records and original PDFs are outside this submission. Questions and retrieved passages go to Nebius; this is not fully offline processing.</w:t>
      </w:r>
    </w:p>
    <w:p>
      <w:r>
        <w:t>The Streamlit app runs on the local computer at http://127.0.0.1:8501. No app login is required. Live model requests use a Nebius API key stored in a local .env file; a reviewer reproducing the project supplies their own key. Credentials are excluded from GitHub and from this report.</w:t>
      </w:r>
    </w:p>
    <w:p>
      <w:r>
        <w:t>The current answer stays in the browser session. Refreshing or closing the page clears it. The app does not provide candidate profiling, an eligibility score, or recommendation-letter drafting.</w:t>
      </w:r>
    </w:p>
    <w:p>
      <w:r>
        <w:br w:type="page"/>
      </w:r>
    </w:p>
    <w:p>
      <w:pPr>
        <w:pStyle w:val="Heading1"/>
      </w:pPr>
      <w:r>
        <w:t>Evaluation results</w:t>
      </w:r>
    </w:p>
    <w:p>
      <w:r>
        <w:t xml:space="preserve">Final model: </w:t>
      </w:r>
      <w:r>
        <w:rPr>
          <w:rFonts w:ascii="Consolas" w:hAnsi="Consolas"/>
          <w:sz w:val="18"/>
        </w:rPr>
        <w:t>Qwen/Qwen3-235B-A22B-Instruct-2507</w:t>
      </w:r>
      <w:r>
        <w:t>. Public policy questions only. The two modes used the same corpus, embedding model and final answer prompt.</w:t>
      </w:r>
    </w:p>
    <w:p>
      <w:pPr>
        <w:pStyle w:val="Heading2"/>
      </w:pPr>
      <w:r>
        <w:t>Measured results</w:t>
      </w:r>
    </w:p>
    <w:tbl>
      <w:tblPr>
        <w:tblStyle w:val="TableGrid"/>
        <w:tblW w:type="auto" w:w="0"/>
        <w:tblLayout w:type="fixed"/>
        <w:tblLook w:firstColumn="1" w:firstRow="1" w:lastColumn="0" w:lastRow="0" w:noHBand="0" w:noVBand="1" w:val="04A0"/>
      </w:tblPr>
      <w:tblGrid>
        <w:gridCol w:w="3240"/>
        <w:gridCol w:w="3312"/>
        <w:gridCol w:w="3312"/>
      </w:tblGrid>
      <w:tr>
        <w:trPr>
          <w:cantSplit/>
          <w:tblHeader w:val="true"/>
        </w:trPr>
        <w:tc>
          <w:tcPr>
            <w:tcW w:type="dxa" w:w="3240"/>
            <w:shd w:fill="17365D"/>
          </w:tcPr>
          <w:p>
            <w:pPr>
              <w:spacing w:after="80" w:before="80" w:line="252" w:lineRule="auto"/>
            </w:pPr>
            <w:r>
              <w:rPr>
                <w:b/>
                <w:color w:val="FFFFFF"/>
                <w:sz w:val="19"/>
              </w:rPr>
              <w:t>Metric</w:t>
            </w:r>
          </w:p>
        </w:tc>
        <w:tc>
          <w:tcPr>
            <w:tcW w:type="dxa" w:w="3312"/>
            <w:shd w:fill="17365D"/>
          </w:tcPr>
          <w:p>
            <w:pPr>
              <w:spacing w:after="80" w:before="80" w:line="252" w:lineRule="auto"/>
            </w:pPr>
            <w:r>
              <w:rPr>
                <w:b/>
                <w:color w:val="FFFFFF"/>
                <w:sz w:val="19"/>
              </w:rPr>
              <w:t>Dense baseline</w:t>
            </w:r>
          </w:p>
        </w:tc>
        <w:tc>
          <w:tcPr>
            <w:tcW w:type="dxa" w:w="3312"/>
            <w:shd w:fill="17365D"/>
          </w:tcPr>
          <w:p>
            <w:pPr>
              <w:spacing w:after="80" w:before="80" w:line="252" w:lineRule="auto"/>
            </w:pPr>
            <w:r>
              <w:rPr>
                <w:b/>
                <w:color w:val="FFFFFF"/>
                <w:sz w:val="19"/>
              </w:rPr>
              <w:t>Hybrid + rerank</w:t>
            </w:r>
          </w:p>
        </w:tc>
      </w:tr>
      <w:tr>
        <w:trPr>
          <w:cantSplit/>
        </w:trPr>
        <w:tc>
          <w:tcPr>
            <w:tcW w:type="dxa" w:w="3240"/>
          </w:tcPr>
          <w:p>
            <w:pPr>
              <w:spacing w:after="80" w:before="80" w:line="252" w:lineRule="auto"/>
            </w:pPr>
            <w:r>
              <w:rPr>
                <w:sz w:val="19"/>
              </w:rPr>
              <w:t>Expected answer/clarify/refuse behavior</w:t>
            </w:r>
          </w:p>
        </w:tc>
        <w:tc>
          <w:tcPr>
            <w:tcW w:type="dxa" w:w="3312"/>
          </w:tcPr>
          <w:p>
            <w:pPr>
              <w:spacing w:after="80" w:before="80" w:line="252" w:lineRule="auto"/>
            </w:pPr>
            <w:r>
              <w:rPr>
                <w:sz w:val="19"/>
              </w:rPr>
              <w:t>15/15</w:t>
            </w:r>
          </w:p>
        </w:tc>
        <w:tc>
          <w:tcPr>
            <w:tcW w:type="dxa" w:w="3312"/>
          </w:tcPr>
          <w:p>
            <w:pPr>
              <w:spacing w:after="80" w:before="80" w:line="252" w:lineRule="auto"/>
            </w:pPr>
            <w:r>
              <w:rPr>
                <w:sz w:val="19"/>
              </w:rPr>
              <w:t>15/15</w:t>
            </w:r>
          </w:p>
        </w:tc>
      </w:tr>
      <w:tr>
        <w:trPr>
          <w:cantSplit/>
        </w:trPr>
        <w:tc>
          <w:tcPr>
            <w:tcW w:type="dxa" w:w="3240"/>
            <w:shd w:fill="F0F5F8"/>
          </w:tcPr>
          <w:p>
            <w:pPr>
              <w:spacing w:after="80" w:before="80" w:line="252" w:lineRule="auto"/>
            </w:pPr>
            <w:r>
              <w:rPr>
                <w:sz w:val="19"/>
              </w:rPr>
              <w:t>Request errors</w:t>
            </w:r>
          </w:p>
        </w:tc>
        <w:tc>
          <w:tcPr>
            <w:tcW w:type="dxa" w:w="3312"/>
            <w:shd w:fill="F0F5F8"/>
          </w:tcPr>
          <w:p>
            <w:pPr>
              <w:spacing w:after="80" w:before="80" w:line="252" w:lineRule="auto"/>
            </w:pPr>
            <w:r>
              <w:rPr>
                <w:sz w:val="19"/>
              </w:rPr>
              <w:t>0</w:t>
            </w:r>
          </w:p>
        </w:tc>
        <w:tc>
          <w:tcPr>
            <w:tcW w:type="dxa" w:w="3312"/>
            <w:shd w:fill="F0F5F8"/>
          </w:tcPr>
          <w:p>
            <w:pPr>
              <w:spacing w:after="80" w:before="80" w:line="252" w:lineRule="auto"/>
            </w:pPr>
            <w:r>
              <w:rPr>
                <w:sz w:val="19"/>
              </w:rPr>
              <w:t>0</w:t>
            </w:r>
          </w:p>
        </w:tc>
      </w:tr>
      <w:tr>
        <w:trPr>
          <w:cantSplit/>
        </w:trPr>
        <w:tc>
          <w:tcPr>
            <w:tcW w:type="dxa" w:w="3240"/>
          </w:tcPr>
          <w:p>
            <w:pPr>
              <w:spacing w:after="80" w:before="80" w:line="252" w:lineRule="auto"/>
            </w:pPr>
            <w:r>
              <w:rPr>
                <w:sz w:val="19"/>
              </w:rPr>
              <w:t>Mean gold precision@4</w:t>
            </w:r>
          </w:p>
        </w:tc>
        <w:tc>
          <w:tcPr>
            <w:tcW w:type="dxa" w:w="3312"/>
          </w:tcPr>
          <w:p>
            <w:pPr>
              <w:spacing w:after="80" w:before="80" w:line="252" w:lineRule="auto"/>
            </w:pPr>
            <w:r>
              <w:rPr>
                <w:sz w:val="19"/>
              </w:rPr>
              <w:t>0.389</w:t>
            </w:r>
          </w:p>
        </w:tc>
        <w:tc>
          <w:tcPr>
            <w:tcW w:type="dxa" w:w="3312"/>
          </w:tcPr>
          <w:p>
            <w:pPr>
              <w:spacing w:after="80" w:before="80" w:line="252" w:lineRule="auto"/>
            </w:pPr>
            <w:r>
              <w:rPr>
                <w:sz w:val="19"/>
              </w:rPr>
              <w:t>0.389</w:t>
            </w:r>
          </w:p>
        </w:tc>
      </w:tr>
      <w:tr>
        <w:trPr>
          <w:cantSplit/>
        </w:trPr>
        <w:tc>
          <w:tcPr>
            <w:tcW w:type="dxa" w:w="3240"/>
            <w:shd w:fill="F0F5F8"/>
          </w:tcPr>
          <w:p>
            <w:pPr>
              <w:spacing w:after="80" w:before="80" w:line="252" w:lineRule="auto"/>
            </w:pPr>
            <w:r>
              <w:rPr>
                <w:sz w:val="19"/>
              </w:rPr>
              <w:t>Mean gold recall@4</w:t>
            </w:r>
          </w:p>
        </w:tc>
        <w:tc>
          <w:tcPr>
            <w:tcW w:type="dxa" w:w="3312"/>
            <w:shd w:fill="F0F5F8"/>
          </w:tcPr>
          <w:p>
            <w:pPr>
              <w:spacing w:after="80" w:before="80" w:line="252" w:lineRule="auto"/>
            </w:pPr>
            <w:r>
              <w:rPr>
                <w:sz w:val="19"/>
              </w:rPr>
              <w:t>1.000</w:t>
            </w:r>
          </w:p>
        </w:tc>
        <w:tc>
          <w:tcPr>
            <w:tcW w:type="dxa" w:w="3312"/>
            <w:shd w:fill="F0F5F8"/>
          </w:tcPr>
          <w:p>
            <w:pPr>
              <w:spacing w:after="80" w:before="80" w:line="252" w:lineRule="auto"/>
            </w:pPr>
            <w:r>
              <w:rPr>
                <w:sz w:val="19"/>
              </w:rPr>
              <w:t>1.000</w:t>
            </w:r>
          </w:p>
        </w:tc>
      </w:tr>
      <w:tr>
        <w:trPr>
          <w:cantSplit/>
        </w:trPr>
        <w:tc>
          <w:tcPr>
            <w:tcW w:type="dxa" w:w="3240"/>
          </w:tcPr>
          <w:p>
            <w:pPr>
              <w:spacing w:after="80" w:before="80" w:line="252" w:lineRule="auto"/>
            </w:pPr>
            <w:r>
              <w:rPr>
                <w:sz w:val="19"/>
              </w:rPr>
              <w:t>p95 seconds (nearest rank)</w:t>
            </w:r>
          </w:p>
        </w:tc>
        <w:tc>
          <w:tcPr>
            <w:tcW w:type="dxa" w:w="3312"/>
          </w:tcPr>
          <w:p>
            <w:pPr>
              <w:spacing w:after="80" w:before="80" w:line="252" w:lineRule="auto"/>
            </w:pPr>
            <w:r>
              <w:rPr>
                <w:sz w:val="19"/>
              </w:rPr>
              <w:t>10.280</w:t>
            </w:r>
          </w:p>
        </w:tc>
        <w:tc>
          <w:tcPr>
            <w:tcW w:type="dxa" w:w="3312"/>
          </w:tcPr>
          <w:p>
            <w:pPr>
              <w:spacing w:after="80" w:before="80" w:line="252" w:lineRule="auto"/>
            </w:pPr>
            <w:r>
              <w:rPr>
                <w:sz w:val="19"/>
              </w:rPr>
              <w:t>7.570</w:t>
            </w:r>
          </w:p>
        </w:tc>
      </w:tr>
    </w:tbl>
    <w:p>
      <w:pPr>
        <w:spacing w:after="0"/>
      </w:pPr>
    </w:p>
    <w:p>
      <w:pPr>
        <w:pStyle w:val="Heading2"/>
      </w:pPr>
      <w:r>
        <w:t>Per-question results</w:t>
      </w:r>
    </w:p>
    <w:tbl>
      <w:tblPr>
        <w:tblStyle w:val="TableGrid"/>
        <w:tblW w:type="auto" w:w="0"/>
        <w:tblLayout w:type="fixed"/>
        <w:tblLook w:firstColumn="1" w:firstRow="1" w:lastColumn="0" w:lastRow="0" w:noHBand="0" w:noVBand="1" w:val="04A0"/>
      </w:tblPr>
      <w:tblGrid>
        <w:gridCol w:w="605"/>
        <w:gridCol w:w="1526"/>
        <w:gridCol w:w="936"/>
        <w:gridCol w:w="1224"/>
        <w:gridCol w:w="936"/>
        <w:gridCol w:w="4637"/>
      </w:tblGrid>
      <w:tr>
        <w:trPr>
          <w:cantSplit/>
          <w:tblHeader w:val="true"/>
        </w:trPr>
        <w:tc>
          <w:tcPr>
            <w:tcW w:type="dxa" w:w="605"/>
            <w:shd w:fill="17365D"/>
          </w:tcPr>
          <w:p>
            <w:pPr>
              <w:spacing w:after="80" w:before="80" w:line="252" w:lineRule="auto"/>
            </w:pPr>
            <w:r>
              <w:rPr>
                <w:b/>
                <w:color w:val="FFFFFF"/>
                <w:sz w:val="18"/>
              </w:rPr>
              <w:t>ID</w:t>
            </w:r>
          </w:p>
        </w:tc>
        <w:tc>
          <w:tcPr>
            <w:tcW w:type="dxa" w:w="1526"/>
            <w:shd w:fill="17365D"/>
          </w:tcPr>
          <w:p>
            <w:pPr>
              <w:spacing w:after="80" w:before="80" w:line="252" w:lineRule="auto"/>
            </w:pPr>
            <w:r>
              <w:rPr>
                <w:b/>
                <w:color w:val="FFFFFF"/>
                <w:sz w:val="18"/>
              </w:rPr>
              <w:t>Type</w:t>
            </w:r>
          </w:p>
        </w:tc>
        <w:tc>
          <w:tcPr>
            <w:tcW w:type="dxa" w:w="936"/>
            <w:shd w:fill="17365D"/>
          </w:tcPr>
          <w:p>
            <w:pPr>
              <w:spacing w:after="80" w:before="80" w:line="252" w:lineRule="auto"/>
            </w:pPr>
            <w:r>
              <w:rPr>
                <w:b/>
                <w:color w:val="FFFFFF"/>
                <w:sz w:val="18"/>
              </w:rPr>
              <w:t>Behavior</w:t>
            </w:r>
          </w:p>
        </w:tc>
        <w:tc>
          <w:tcPr>
            <w:tcW w:type="dxa" w:w="1224"/>
            <w:shd w:fill="17365D"/>
          </w:tcPr>
          <w:p>
            <w:pPr>
              <w:spacing w:after="80" w:before="80" w:line="252" w:lineRule="auto"/>
            </w:pPr>
            <w:r>
              <w:rPr>
                <w:b/>
                <w:color w:val="FFFFFF"/>
                <w:sz w:val="18"/>
              </w:rPr>
              <w:t>Gold recall@4</w:t>
            </w:r>
          </w:p>
        </w:tc>
        <w:tc>
          <w:tcPr>
            <w:tcW w:type="dxa" w:w="936"/>
            <w:shd w:fill="17365D"/>
          </w:tcPr>
          <w:p>
            <w:pPr>
              <w:spacing w:after="80" w:before="80" w:line="252" w:lineRule="auto"/>
            </w:pPr>
            <w:r>
              <w:rPr>
                <w:b/>
                <w:color w:val="FFFFFF"/>
                <w:sz w:val="18"/>
              </w:rPr>
              <w:t>Seconds</w:t>
            </w:r>
          </w:p>
        </w:tc>
        <w:tc>
          <w:tcPr>
            <w:tcW w:type="dxa" w:w="4637"/>
            <w:shd w:fill="17365D"/>
          </w:tcPr>
          <w:p>
            <w:pPr>
              <w:spacing w:after="80" w:before="80" w:line="252" w:lineRule="auto"/>
            </w:pPr>
            <w:r>
              <w:rPr>
                <w:b/>
                <w:color w:val="FFFFFF"/>
                <w:sz w:val="18"/>
              </w:rPr>
              <w:t>Supported claims in audit</w:t>
            </w:r>
          </w:p>
        </w:tc>
      </w:tr>
      <w:tr>
        <w:trPr>
          <w:cantSplit/>
        </w:trPr>
        <w:tc>
          <w:tcPr>
            <w:tcW w:type="dxa" w:w="605"/>
          </w:tcPr>
          <w:p>
            <w:pPr>
              <w:spacing w:after="80" w:before="80" w:line="252" w:lineRule="auto"/>
            </w:pPr>
            <w:r>
              <w:rPr>
                <w:sz w:val="18"/>
              </w:rPr>
              <w:t>D1</w:t>
            </w:r>
          </w:p>
        </w:tc>
        <w:tc>
          <w:tcPr>
            <w:tcW w:type="dxa" w:w="1526"/>
          </w:tcPr>
          <w:p>
            <w:pPr>
              <w:spacing w:after="80" w:before="80" w:line="252" w:lineRule="auto"/>
            </w:pPr>
            <w:r>
              <w:rPr>
                <w:sz w:val="18"/>
              </w:rPr>
              <w:t>Direct</w:t>
            </w:r>
          </w:p>
        </w:tc>
        <w:tc>
          <w:tcPr>
            <w:tcW w:type="dxa" w:w="936"/>
          </w:tcPr>
          <w:p>
            <w:pPr>
              <w:spacing w:after="80" w:before="80" w:line="252" w:lineRule="auto"/>
            </w:pPr>
            <w:r>
              <w:rPr>
                <w:sz w:val="18"/>
              </w:rPr>
              <w:t>Pass</w:t>
            </w:r>
          </w:p>
        </w:tc>
        <w:tc>
          <w:tcPr>
            <w:tcW w:type="dxa" w:w="1224"/>
          </w:tcPr>
          <w:p>
            <w:pPr>
              <w:spacing w:after="80" w:before="80" w:line="252" w:lineRule="auto"/>
            </w:pPr>
            <w:r>
              <w:rPr>
                <w:sz w:val="18"/>
              </w:rPr>
              <w:t>1.0</w:t>
            </w:r>
          </w:p>
        </w:tc>
        <w:tc>
          <w:tcPr>
            <w:tcW w:type="dxa" w:w="936"/>
          </w:tcPr>
          <w:p>
            <w:pPr>
              <w:spacing w:after="80" w:before="80" w:line="252" w:lineRule="auto"/>
            </w:pPr>
            <w:r>
              <w:rPr>
                <w:sz w:val="18"/>
              </w:rPr>
              <w:t>7.57</w:t>
            </w:r>
          </w:p>
        </w:tc>
        <w:tc>
          <w:tcPr>
            <w:tcW w:type="dxa" w:w="4637"/>
          </w:tcPr>
          <w:p>
            <w:pPr>
              <w:spacing w:after="80" w:before="80" w:line="252" w:lineRule="auto"/>
            </w:pPr>
            <w:r>
              <w:rPr>
                <w:sz w:val="18"/>
              </w:rPr>
              <w:t>3/3</w:t>
            </w:r>
          </w:p>
        </w:tc>
      </w:tr>
      <w:tr>
        <w:trPr>
          <w:cantSplit/>
        </w:trPr>
        <w:tc>
          <w:tcPr>
            <w:tcW w:type="dxa" w:w="605"/>
            <w:shd w:fill="F0F5F8"/>
          </w:tcPr>
          <w:p>
            <w:pPr>
              <w:spacing w:after="80" w:before="80" w:line="252" w:lineRule="auto"/>
            </w:pPr>
            <w:r>
              <w:rPr>
                <w:sz w:val="18"/>
              </w:rPr>
              <w:t>D2</w:t>
            </w:r>
          </w:p>
        </w:tc>
        <w:tc>
          <w:tcPr>
            <w:tcW w:type="dxa" w:w="1526"/>
            <w:shd w:fill="F0F5F8"/>
          </w:tcPr>
          <w:p>
            <w:pPr>
              <w:spacing w:after="80" w:before="80" w:line="252" w:lineRule="auto"/>
            </w:pPr>
            <w:r>
              <w:rPr>
                <w:sz w:val="18"/>
              </w:rPr>
              <w:t>Direct</w:t>
            </w:r>
          </w:p>
        </w:tc>
        <w:tc>
          <w:tcPr>
            <w:tcW w:type="dxa" w:w="936"/>
            <w:shd w:fill="F0F5F8"/>
          </w:tcPr>
          <w:p>
            <w:pPr>
              <w:spacing w:after="80" w:before="80" w:line="252" w:lineRule="auto"/>
            </w:pPr>
            <w:r>
              <w:rPr>
                <w:sz w:val="18"/>
              </w:rPr>
              <w:t>Pass</w:t>
            </w:r>
          </w:p>
        </w:tc>
        <w:tc>
          <w:tcPr>
            <w:tcW w:type="dxa" w:w="1224"/>
            <w:shd w:fill="F0F5F8"/>
          </w:tcPr>
          <w:p>
            <w:pPr>
              <w:spacing w:after="80" w:before="80" w:line="252" w:lineRule="auto"/>
            </w:pPr>
            <w:r>
              <w:rPr>
                <w:sz w:val="18"/>
              </w:rPr>
              <w:t>1.0</w:t>
            </w:r>
          </w:p>
        </w:tc>
        <w:tc>
          <w:tcPr>
            <w:tcW w:type="dxa" w:w="936"/>
            <w:shd w:fill="F0F5F8"/>
          </w:tcPr>
          <w:p>
            <w:pPr>
              <w:spacing w:after="80" w:before="80" w:line="252" w:lineRule="auto"/>
            </w:pPr>
            <w:r>
              <w:rPr>
                <w:sz w:val="18"/>
              </w:rPr>
              <w:t>2.60</w:t>
            </w:r>
          </w:p>
        </w:tc>
        <w:tc>
          <w:tcPr>
            <w:tcW w:type="dxa" w:w="4637"/>
            <w:shd w:fill="F0F5F8"/>
          </w:tcPr>
          <w:p>
            <w:pPr>
              <w:spacing w:after="80" w:before="80" w:line="252" w:lineRule="auto"/>
            </w:pPr>
            <w:r>
              <w:rPr>
                <w:sz w:val="18"/>
              </w:rPr>
              <w:t>2/2</w:t>
            </w:r>
          </w:p>
        </w:tc>
      </w:tr>
      <w:tr>
        <w:trPr>
          <w:cantSplit/>
        </w:trPr>
        <w:tc>
          <w:tcPr>
            <w:tcW w:type="dxa" w:w="605"/>
          </w:tcPr>
          <w:p>
            <w:pPr>
              <w:spacing w:after="80" w:before="80" w:line="252" w:lineRule="auto"/>
            </w:pPr>
            <w:r>
              <w:rPr>
                <w:sz w:val="18"/>
              </w:rPr>
              <w:t>D3</w:t>
            </w:r>
          </w:p>
        </w:tc>
        <w:tc>
          <w:tcPr>
            <w:tcW w:type="dxa" w:w="1526"/>
          </w:tcPr>
          <w:p>
            <w:pPr>
              <w:spacing w:after="80" w:before="80" w:line="252" w:lineRule="auto"/>
            </w:pPr>
            <w:r>
              <w:rPr>
                <w:sz w:val="18"/>
              </w:rPr>
              <w:t>Direct</w:t>
            </w:r>
          </w:p>
        </w:tc>
        <w:tc>
          <w:tcPr>
            <w:tcW w:type="dxa" w:w="936"/>
          </w:tcPr>
          <w:p>
            <w:pPr>
              <w:spacing w:after="80" w:before="80" w:line="252" w:lineRule="auto"/>
            </w:pPr>
            <w:r>
              <w:rPr>
                <w:sz w:val="18"/>
              </w:rPr>
              <w:t>Pass</w:t>
            </w:r>
          </w:p>
        </w:tc>
        <w:tc>
          <w:tcPr>
            <w:tcW w:type="dxa" w:w="1224"/>
          </w:tcPr>
          <w:p>
            <w:pPr>
              <w:spacing w:after="80" w:before="80" w:line="252" w:lineRule="auto"/>
            </w:pPr>
            <w:r>
              <w:rPr>
                <w:sz w:val="18"/>
              </w:rPr>
              <w:t>1.0</w:t>
            </w:r>
          </w:p>
        </w:tc>
        <w:tc>
          <w:tcPr>
            <w:tcW w:type="dxa" w:w="936"/>
          </w:tcPr>
          <w:p>
            <w:pPr>
              <w:spacing w:after="80" w:before="80" w:line="252" w:lineRule="auto"/>
            </w:pPr>
            <w:r>
              <w:rPr>
                <w:sz w:val="18"/>
              </w:rPr>
              <w:t>4.69</w:t>
            </w:r>
          </w:p>
        </w:tc>
        <w:tc>
          <w:tcPr>
            <w:tcW w:type="dxa" w:w="4637"/>
          </w:tcPr>
          <w:p>
            <w:pPr>
              <w:spacing w:after="80" w:before="80" w:line="252" w:lineRule="auto"/>
            </w:pPr>
            <w:r>
              <w:rPr>
                <w:sz w:val="18"/>
              </w:rPr>
              <w:t>3/3</w:t>
            </w:r>
          </w:p>
        </w:tc>
      </w:tr>
      <w:tr>
        <w:trPr>
          <w:cantSplit/>
        </w:trPr>
        <w:tc>
          <w:tcPr>
            <w:tcW w:type="dxa" w:w="605"/>
            <w:shd w:fill="F0F5F8"/>
          </w:tcPr>
          <w:p>
            <w:pPr>
              <w:spacing w:after="80" w:before="80" w:line="252" w:lineRule="auto"/>
            </w:pPr>
            <w:r>
              <w:rPr>
                <w:sz w:val="18"/>
              </w:rPr>
              <w:t>D4</w:t>
            </w:r>
          </w:p>
        </w:tc>
        <w:tc>
          <w:tcPr>
            <w:tcW w:type="dxa" w:w="1526"/>
            <w:shd w:fill="F0F5F8"/>
          </w:tcPr>
          <w:p>
            <w:pPr>
              <w:spacing w:after="80" w:before="80" w:line="252" w:lineRule="auto"/>
            </w:pPr>
            <w:r>
              <w:rPr>
                <w:sz w:val="18"/>
              </w:rPr>
              <w:t>Direct</w:t>
            </w:r>
          </w:p>
        </w:tc>
        <w:tc>
          <w:tcPr>
            <w:tcW w:type="dxa" w:w="936"/>
            <w:shd w:fill="F0F5F8"/>
          </w:tcPr>
          <w:p>
            <w:pPr>
              <w:spacing w:after="80" w:before="80" w:line="252" w:lineRule="auto"/>
            </w:pPr>
            <w:r>
              <w:rPr>
                <w:sz w:val="18"/>
              </w:rPr>
              <w:t>Pass</w:t>
            </w:r>
          </w:p>
        </w:tc>
        <w:tc>
          <w:tcPr>
            <w:tcW w:type="dxa" w:w="1224"/>
            <w:shd w:fill="F0F5F8"/>
          </w:tcPr>
          <w:p>
            <w:pPr>
              <w:spacing w:after="80" w:before="80" w:line="252" w:lineRule="auto"/>
            </w:pPr>
            <w:r>
              <w:rPr>
                <w:sz w:val="18"/>
              </w:rPr>
              <w:t>1.0</w:t>
            </w:r>
          </w:p>
        </w:tc>
        <w:tc>
          <w:tcPr>
            <w:tcW w:type="dxa" w:w="936"/>
            <w:shd w:fill="F0F5F8"/>
          </w:tcPr>
          <w:p>
            <w:pPr>
              <w:spacing w:after="80" w:before="80" w:line="252" w:lineRule="auto"/>
            </w:pPr>
            <w:r>
              <w:rPr>
                <w:sz w:val="18"/>
              </w:rPr>
              <w:t>5.51</w:t>
            </w:r>
          </w:p>
        </w:tc>
        <w:tc>
          <w:tcPr>
            <w:tcW w:type="dxa" w:w="4637"/>
            <w:shd w:fill="F0F5F8"/>
          </w:tcPr>
          <w:p>
            <w:pPr>
              <w:spacing w:after="80" w:before="80" w:line="252" w:lineRule="auto"/>
            </w:pPr>
            <w:r>
              <w:rPr>
                <w:sz w:val="18"/>
              </w:rPr>
              <w:t>3/3</w:t>
            </w:r>
          </w:p>
        </w:tc>
      </w:tr>
      <w:tr>
        <w:trPr>
          <w:cantSplit/>
        </w:trPr>
        <w:tc>
          <w:tcPr>
            <w:tcW w:type="dxa" w:w="605"/>
          </w:tcPr>
          <w:p>
            <w:pPr>
              <w:spacing w:after="80" w:before="80" w:line="252" w:lineRule="auto"/>
            </w:pPr>
            <w:r>
              <w:rPr>
                <w:sz w:val="18"/>
              </w:rPr>
              <w:t>D5</w:t>
            </w:r>
          </w:p>
        </w:tc>
        <w:tc>
          <w:tcPr>
            <w:tcW w:type="dxa" w:w="1526"/>
          </w:tcPr>
          <w:p>
            <w:pPr>
              <w:spacing w:after="80" w:before="80" w:line="252" w:lineRule="auto"/>
            </w:pPr>
            <w:r>
              <w:rPr>
                <w:sz w:val="18"/>
              </w:rPr>
              <w:t>Direct</w:t>
            </w:r>
          </w:p>
        </w:tc>
        <w:tc>
          <w:tcPr>
            <w:tcW w:type="dxa" w:w="936"/>
          </w:tcPr>
          <w:p>
            <w:pPr>
              <w:spacing w:after="80" w:before="80" w:line="252" w:lineRule="auto"/>
            </w:pPr>
            <w:r>
              <w:rPr>
                <w:sz w:val="18"/>
              </w:rPr>
              <w:t>Pass</w:t>
            </w:r>
          </w:p>
        </w:tc>
        <w:tc>
          <w:tcPr>
            <w:tcW w:type="dxa" w:w="1224"/>
          </w:tcPr>
          <w:p>
            <w:pPr>
              <w:spacing w:after="80" w:before="80" w:line="252" w:lineRule="auto"/>
            </w:pPr>
            <w:r>
              <w:rPr>
                <w:sz w:val="18"/>
              </w:rPr>
              <w:t>1.0</w:t>
            </w:r>
          </w:p>
        </w:tc>
        <w:tc>
          <w:tcPr>
            <w:tcW w:type="dxa" w:w="936"/>
          </w:tcPr>
          <w:p>
            <w:pPr>
              <w:spacing w:after="80" w:before="80" w:line="252" w:lineRule="auto"/>
            </w:pPr>
            <w:r>
              <w:rPr>
                <w:sz w:val="18"/>
              </w:rPr>
              <w:t>4.80</w:t>
            </w:r>
          </w:p>
        </w:tc>
        <w:tc>
          <w:tcPr>
            <w:tcW w:type="dxa" w:w="4637"/>
          </w:tcPr>
          <w:p>
            <w:pPr>
              <w:spacing w:after="80" w:before="80" w:line="252" w:lineRule="auto"/>
            </w:pPr>
            <w:r>
              <w:rPr>
                <w:sz w:val="18"/>
              </w:rPr>
              <w:t>3/3</w:t>
            </w:r>
          </w:p>
        </w:tc>
      </w:tr>
      <w:tr>
        <w:trPr>
          <w:cantSplit/>
        </w:trPr>
        <w:tc>
          <w:tcPr>
            <w:tcW w:type="dxa" w:w="605"/>
            <w:shd w:fill="F0F5F8"/>
          </w:tcPr>
          <w:p>
            <w:pPr>
              <w:spacing w:after="80" w:before="80" w:line="252" w:lineRule="auto"/>
            </w:pPr>
            <w:r>
              <w:rPr>
                <w:sz w:val="18"/>
              </w:rPr>
              <w:t>D6</w:t>
            </w:r>
          </w:p>
        </w:tc>
        <w:tc>
          <w:tcPr>
            <w:tcW w:type="dxa" w:w="1526"/>
            <w:shd w:fill="F0F5F8"/>
          </w:tcPr>
          <w:p>
            <w:pPr>
              <w:spacing w:after="80" w:before="80" w:line="252" w:lineRule="auto"/>
            </w:pPr>
            <w:r>
              <w:rPr>
                <w:sz w:val="18"/>
              </w:rPr>
              <w:t>Direct</w:t>
            </w:r>
          </w:p>
        </w:tc>
        <w:tc>
          <w:tcPr>
            <w:tcW w:type="dxa" w:w="936"/>
            <w:shd w:fill="F0F5F8"/>
          </w:tcPr>
          <w:p>
            <w:pPr>
              <w:spacing w:after="80" w:before="80" w:line="252" w:lineRule="auto"/>
            </w:pPr>
            <w:r>
              <w:rPr>
                <w:sz w:val="18"/>
              </w:rPr>
              <w:t>Pass</w:t>
            </w:r>
          </w:p>
        </w:tc>
        <w:tc>
          <w:tcPr>
            <w:tcW w:type="dxa" w:w="1224"/>
            <w:shd w:fill="F0F5F8"/>
          </w:tcPr>
          <w:p>
            <w:pPr>
              <w:spacing w:after="80" w:before="80" w:line="252" w:lineRule="auto"/>
            </w:pPr>
            <w:r>
              <w:rPr>
                <w:sz w:val="18"/>
              </w:rPr>
              <w:t>1.0</w:t>
            </w:r>
          </w:p>
        </w:tc>
        <w:tc>
          <w:tcPr>
            <w:tcW w:type="dxa" w:w="936"/>
            <w:shd w:fill="F0F5F8"/>
          </w:tcPr>
          <w:p>
            <w:pPr>
              <w:spacing w:after="80" w:before="80" w:line="252" w:lineRule="auto"/>
            </w:pPr>
            <w:r>
              <w:rPr>
                <w:sz w:val="18"/>
              </w:rPr>
              <w:t>6.00</w:t>
            </w:r>
          </w:p>
        </w:tc>
        <w:tc>
          <w:tcPr>
            <w:tcW w:type="dxa" w:w="4637"/>
            <w:shd w:fill="F0F5F8"/>
          </w:tcPr>
          <w:p>
            <w:pPr>
              <w:spacing w:after="80" w:before="80" w:line="252" w:lineRule="auto"/>
            </w:pPr>
            <w:r>
              <w:rPr>
                <w:sz w:val="18"/>
              </w:rPr>
              <w:t>3/3</w:t>
            </w:r>
          </w:p>
        </w:tc>
      </w:tr>
      <w:tr>
        <w:trPr>
          <w:cantSplit/>
        </w:trPr>
        <w:tc>
          <w:tcPr>
            <w:tcW w:type="dxa" w:w="605"/>
          </w:tcPr>
          <w:p>
            <w:pPr>
              <w:spacing w:after="80" w:before="80" w:line="252" w:lineRule="auto"/>
            </w:pPr>
            <w:r>
              <w:rPr>
                <w:sz w:val="18"/>
              </w:rPr>
              <w:t>C1</w:t>
            </w:r>
          </w:p>
        </w:tc>
        <w:tc>
          <w:tcPr>
            <w:tcW w:type="dxa" w:w="1526"/>
          </w:tcPr>
          <w:p>
            <w:pPr>
              <w:spacing w:after="80" w:before="80" w:line="252" w:lineRule="auto"/>
            </w:pPr>
            <w:r>
              <w:rPr>
                <w:sz w:val="18"/>
              </w:rPr>
              <w:t>Cross-chapter</w:t>
            </w:r>
          </w:p>
        </w:tc>
        <w:tc>
          <w:tcPr>
            <w:tcW w:type="dxa" w:w="936"/>
          </w:tcPr>
          <w:p>
            <w:pPr>
              <w:spacing w:after="80" w:before="80" w:line="252" w:lineRule="auto"/>
            </w:pPr>
            <w:r>
              <w:rPr>
                <w:sz w:val="18"/>
              </w:rPr>
              <w:t>Pass</w:t>
            </w:r>
          </w:p>
        </w:tc>
        <w:tc>
          <w:tcPr>
            <w:tcW w:type="dxa" w:w="1224"/>
          </w:tcPr>
          <w:p>
            <w:pPr>
              <w:spacing w:after="80" w:before="80" w:line="252" w:lineRule="auto"/>
            </w:pPr>
            <w:r>
              <w:rPr>
                <w:sz w:val="18"/>
              </w:rPr>
              <w:t>1.0</w:t>
            </w:r>
          </w:p>
        </w:tc>
        <w:tc>
          <w:tcPr>
            <w:tcW w:type="dxa" w:w="936"/>
          </w:tcPr>
          <w:p>
            <w:pPr>
              <w:spacing w:after="80" w:before="80" w:line="252" w:lineRule="auto"/>
            </w:pPr>
            <w:r>
              <w:rPr>
                <w:sz w:val="18"/>
              </w:rPr>
              <w:t>3.88</w:t>
            </w:r>
          </w:p>
        </w:tc>
        <w:tc>
          <w:tcPr>
            <w:tcW w:type="dxa" w:w="4637"/>
          </w:tcPr>
          <w:p>
            <w:pPr>
              <w:spacing w:after="80" w:before="80" w:line="252" w:lineRule="auto"/>
            </w:pPr>
            <w:r>
              <w:rPr>
                <w:sz w:val="18"/>
              </w:rPr>
              <w:t>3/3</w:t>
            </w:r>
          </w:p>
        </w:tc>
      </w:tr>
      <w:tr>
        <w:trPr>
          <w:cantSplit/>
        </w:trPr>
        <w:tc>
          <w:tcPr>
            <w:tcW w:type="dxa" w:w="605"/>
            <w:shd w:fill="F0F5F8"/>
          </w:tcPr>
          <w:p>
            <w:pPr>
              <w:spacing w:after="80" w:before="80" w:line="252" w:lineRule="auto"/>
            </w:pPr>
            <w:r>
              <w:rPr>
                <w:sz w:val="18"/>
              </w:rPr>
              <w:t>C2</w:t>
            </w:r>
          </w:p>
        </w:tc>
        <w:tc>
          <w:tcPr>
            <w:tcW w:type="dxa" w:w="1526"/>
            <w:shd w:fill="F0F5F8"/>
          </w:tcPr>
          <w:p>
            <w:pPr>
              <w:spacing w:after="80" w:before="80" w:line="252" w:lineRule="auto"/>
            </w:pPr>
            <w:r>
              <w:rPr>
                <w:sz w:val="18"/>
              </w:rPr>
              <w:t>Cross-chapter</w:t>
            </w:r>
          </w:p>
        </w:tc>
        <w:tc>
          <w:tcPr>
            <w:tcW w:type="dxa" w:w="936"/>
            <w:shd w:fill="F0F5F8"/>
          </w:tcPr>
          <w:p>
            <w:pPr>
              <w:spacing w:after="80" w:before="80" w:line="252" w:lineRule="auto"/>
            </w:pPr>
            <w:r>
              <w:rPr>
                <w:sz w:val="18"/>
              </w:rPr>
              <w:t>Pass</w:t>
            </w:r>
          </w:p>
        </w:tc>
        <w:tc>
          <w:tcPr>
            <w:tcW w:type="dxa" w:w="1224"/>
            <w:shd w:fill="F0F5F8"/>
          </w:tcPr>
          <w:p>
            <w:pPr>
              <w:spacing w:after="80" w:before="80" w:line="252" w:lineRule="auto"/>
            </w:pPr>
            <w:r>
              <w:rPr>
                <w:sz w:val="18"/>
              </w:rPr>
              <w:t>1.0</w:t>
            </w:r>
          </w:p>
        </w:tc>
        <w:tc>
          <w:tcPr>
            <w:tcW w:type="dxa" w:w="936"/>
            <w:shd w:fill="F0F5F8"/>
          </w:tcPr>
          <w:p>
            <w:pPr>
              <w:spacing w:after="80" w:before="80" w:line="252" w:lineRule="auto"/>
            </w:pPr>
            <w:r>
              <w:rPr>
                <w:sz w:val="18"/>
              </w:rPr>
              <w:t>4.10</w:t>
            </w:r>
          </w:p>
        </w:tc>
        <w:tc>
          <w:tcPr>
            <w:tcW w:type="dxa" w:w="4637"/>
            <w:shd w:fill="F0F5F8"/>
          </w:tcPr>
          <w:p>
            <w:pPr>
              <w:spacing w:after="80" w:before="80" w:line="252" w:lineRule="auto"/>
            </w:pPr>
            <w:r>
              <w:rPr>
                <w:sz w:val="18"/>
              </w:rPr>
              <w:t>3/3</w:t>
            </w:r>
          </w:p>
        </w:tc>
      </w:tr>
      <w:tr>
        <w:trPr>
          <w:cantSplit/>
        </w:trPr>
        <w:tc>
          <w:tcPr>
            <w:tcW w:type="dxa" w:w="605"/>
          </w:tcPr>
          <w:p>
            <w:pPr>
              <w:spacing w:after="80" w:before="80" w:line="252" w:lineRule="auto"/>
            </w:pPr>
            <w:r>
              <w:rPr>
                <w:sz w:val="18"/>
              </w:rPr>
              <w:t>C3</w:t>
            </w:r>
          </w:p>
        </w:tc>
        <w:tc>
          <w:tcPr>
            <w:tcW w:type="dxa" w:w="1526"/>
          </w:tcPr>
          <w:p>
            <w:pPr>
              <w:spacing w:after="80" w:before="80" w:line="252" w:lineRule="auto"/>
            </w:pPr>
            <w:r>
              <w:rPr>
                <w:sz w:val="18"/>
              </w:rPr>
              <w:t>Cross-chapter</w:t>
            </w:r>
          </w:p>
        </w:tc>
        <w:tc>
          <w:tcPr>
            <w:tcW w:type="dxa" w:w="936"/>
          </w:tcPr>
          <w:p>
            <w:pPr>
              <w:spacing w:after="80" w:before="80" w:line="252" w:lineRule="auto"/>
            </w:pPr>
            <w:r>
              <w:rPr>
                <w:sz w:val="18"/>
              </w:rPr>
              <w:t>Pass</w:t>
            </w:r>
          </w:p>
        </w:tc>
        <w:tc>
          <w:tcPr>
            <w:tcW w:type="dxa" w:w="1224"/>
          </w:tcPr>
          <w:p>
            <w:pPr>
              <w:spacing w:after="80" w:before="80" w:line="252" w:lineRule="auto"/>
            </w:pPr>
            <w:r>
              <w:rPr>
                <w:sz w:val="18"/>
              </w:rPr>
              <w:t>1.0</w:t>
            </w:r>
          </w:p>
        </w:tc>
        <w:tc>
          <w:tcPr>
            <w:tcW w:type="dxa" w:w="936"/>
          </w:tcPr>
          <w:p>
            <w:pPr>
              <w:spacing w:after="80" w:before="80" w:line="252" w:lineRule="auto"/>
            </w:pPr>
            <w:r>
              <w:rPr>
                <w:sz w:val="18"/>
              </w:rPr>
              <w:t>6.05</w:t>
            </w:r>
          </w:p>
        </w:tc>
        <w:tc>
          <w:tcPr>
            <w:tcW w:type="dxa" w:w="4637"/>
          </w:tcPr>
          <w:p>
            <w:pPr>
              <w:spacing w:after="80" w:before="80" w:line="252" w:lineRule="auto"/>
            </w:pPr>
            <w:r>
              <w:rPr>
                <w:sz w:val="18"/>
              </w:rPr>
              <w:t>2/3</w:t>
            </w:r>
          </w:p>
        </w:tc>
      </w:tr>
      <w:tr>
        <w:trPr>
          <w:cantSplit/>
        </w:trPr>
        <w:tc>
          <w:tcPr>
            <w:tcW w:type="dxa" w:w="605"/>
            <w:shd w:fill="F0F5F8"/>
          </w:tcPr>
          <w:p>
            <w:pPr>
              <w:spacing w:after="80" w:before="80" w:line="252" w:lineRule="auto"/>
            </w:pPr>
            <w:r>
              <w:rPr>
                <w:sz w:val="18"/>
              </w:rPr>
              <w:t>A1</w:t>
            </w:r>
          </w:p>
        </w:tc>
        <w:tc>
          <w:tcPr>
            <w:tcW w:type="dxa" w:w="1526"/>
            <w:shd w:fill="F0F5F8"/>
          </w:tcPr>
          <w:p>
            <w:pPr>
              <w:spacing w:after="80" w:before="80" w:line="252" w:lineRule="auto"/>
            </w:pPr>
            <w:r>
              <w:rPr>
                <w:sz w:val="18"/>
              </w:rPr>
              <w:t>Ambiguous</w:t>
            </w:r>
          </w:p>
        </w:tc>
        <w:tc>
          <w:tcPr>
            <w:tcW w:type="dxa" w:w="936"/>
            <w:shd w:fill="F0F5F8"/>
          </w:tcPr>
          <w:p>
            <w:pPr>
              <w:spacing w:after="80" w:before="80" w:line="252" w:lineRule="auto"/>
            </w:pPr>
            <w:r>
              <w:rPr>
                <w:sz w:val="18"/>
              </w:rPr>
              <w:t>Pass</w:t>
            </w:r>
          </w:p>
        </w:tc>
        <w:tc>
          <w:tcPr>
            <w:tcW w:type="dxa" w:w="1224"/>
            <w:shd w:fill="F0F5F8"/>
          </w:tcPr>
          <w:p>
            <w:pPr>
              <w:spacing w:after="80" w:before="80" w:line="252" w:lineRule="auto"/>
            </w:pPr>
            <w:r>
              <w:rPr>
                <w:sz w:val="18"/>
              </w:rPr>
              <w:t>N/A</w:t>
            </w:r>
          </w:p>
        </w:tc>
        <w:tc>
          <w:tcPr>
            <w:tcW w:type="dxa" w:w="936"/>
            <w:shd w:fill="F0F5F8"/>
          </w:tcPr>
          <w:p>
            <w:pPr>
              <w:spacing w:after="80" w:before="80" w:line="252" w:lineRule="auto"/>
            </w:pPr>
            <w:r>
              <w:rPr>
                <w:sz w:val="18"/>
              </w:rPr>
              <w:t>0.00</w:t>
            </w:r>
          </w:p>
        </w:tc>
        <w:tc>
          <w:tcPr>
            <w:tcW w:type="dxa" w:w="4637"/>
            <w:shd w:fill="F0F5F8"/>
          </w:tcPr>
          <w:p>
            <w:pPr>
              <w:spacing w:after="80" w:before="80" w:line="252" w:lineRule="auto"/>
            </w:pPr>
            <w:r>
              <w:rPr>
                <w:sz w:val="18"/>
              </w:rPr>
              <w:t>N/A (no factual claims)</w:t>
            </w:r>
          </w:p>
        </w:tc>
      </w:tr>
      <w:tr>
        <w:trPr>
          <w:cantSplit/>
        </w:trPr>
        <w:tc>
          <w:tcPr>
            <w:tcW w:type="dxa" w:w="605"/>
          </w:tcPr>
          <w:p>
            <w:pPr>
              <w:spacing w:after="80" w:before="80" w:line="252" w:lineRule="auto"/>
            </w:pPr>
            <w:r>
              <w:rPr>
                <w:sz w:val="18"/>
              </w:rPr>
              <w:t>A2</w:t>
            </w:r>
          </w:p>
        </w:tc>
        <w:tc>
          <w:tcPr>
            <w:tcW w:type="dxa" w:w="1526"/>
          </w:tcPr>
          <w:p>
            <w:pPr>
              <w:spacing w:after="80" w:before="80" w:line="252" w:lineRule="auto"/>
            </w:pPr>
            <w:r>
              <w:rPr>
                <w:sz w:val="18"/>
              </w:rPr>
              <w:t>Ambiguous</w:t>
            </w:r>
          </w:p>
        </w:tc>
        <w:tc>
          <w:tcPr>
            <w:tcW w:type="dxa" w:w="936"/>
          </w:tcPr>
          <w:p>
            <w:pPr>
              <w:spacing w:after="80" w:before="80" w:line="252" w:lineRule="auto"/>
            </w:pPr>
            <w:r>
              <w:rPr>
                <w:sz w:val="18"/>
              </w:rPr>
              <w:t>Pass</w:t>
            </w:r>
          </w:p>
        </w:tc>
        <w:tc>
          <w:tcPr>
            <w:tcW w:type="dxa" w:w="1224"/>
          </w:tcPr>
          <w:p>
            <w:pPr>
              <w:spacing w:after="80" w:before="80" w:line="252" w:lineRule="auto"/>
            </w:pPr>
            <w:r>
              <w:rPr>
                <w:sz w:val="18"/>
              </w:rPr>
              <w:t>N/A</w:t>
            </w:r>
          </w:p>
        </w:tc>
        <w:tc>
          <w:tcPr>
            <w:tcW w:type="dxa" w:w="936"/>
          </w:tcPr>
          <w:p>
            <w:pPr>
              <w:spacing w:after="80" w:before="80" w:line="252" w:lineRule="auto"/>
            </w:pPr>
            <w:r>
              <w:rPr>
                <w:sz w:val="18"/>
              </w:rPr>
              <w:t>0.00</w:t>
            </w:r>
          </w:p>
        </w:tc>
        <w:tc>
          <w:tcPr>
            <w:tcW w:type="dxa" w:w="4637"/>
          </w:tcPr>
          <w:p>
            <w:pPr>
              <w:spacing w:after="80" w:before="80" w:line="252" w:lineRule="auto"/>
            </w:pPr>
            <w:r>
              <w:rPr>
                <w:sz w:val="18"/>
              </w:rPr>
              <w:t>N/A (no factual claims)</w:t>
            </w:r>
          </w:p>
        </w:tc>
      </w:tr>
      <w:tr>
        <w:trPr>
          <w:cantSplit/>
        </w:trPr>
        <w:tc>
          <w:tcPr>
            <w:tcW w:type="dxa" w:w="605"/>
            <w:shd w:fill="F0F5F8"/>
          </w:tcPr>
          <w:p>
            <w:pPr>
              <w:spacing w:after="80" w:before="80" w:line="252" w:lineRule="auto"/>
            </w:pPr>
            <w:r>
              <w:rPr>
                <w:sz w:val="18"/>
              </w:rPr>
              <w:t>A3</w:t>
            </w:r>
          </w:p>
        </w:tc>
        <w:tc>
          <w:tcPr>
            <w:tcW w:type="dxa" w:w="1526"/>
            <w:shd w:fill="F0F5F8"/>
          </w:tcPr>
          <w:p>
            <w:pPr>
              <w:spacing w:after="80" w:before="80" w:line="252" w:lineRule="auto"/>
            </w:pPr>
            <w:r>
              <w:rPr>
                <w:sz w:val="18"/>
              </w:rPr>
              <w:t>Ambiguous</w:t>
            </w:r>
          </w:p>
        </w:tc>
        <w:tc>
          <w:tcPr>
            <w:tcW w:type="dxa" w:w="936"/>
            <w:shd w:fill="F0F5F8"/>
          </w:tcPr>
          <w:p>
            <w:pPr>
              <w:spacing w:after="80" w:before="80" w:line="252" w:lineRule="auto"/>
            </w:pPr>
            <w:r>
              <w:rPr>
                <w:sz w:val="18"/>
              </w:rPr>
              <w:t>Pass</w:t>
            </w:r>
          </w:p>
        </w:tc>
        <w:tc>
          <w:tcPr>
            <w:tcW w:type="dxa" w:w="1224"/>
            <w:shd w:fill="F0F5F8"/>
          </w:tcPr>
          <w:p>
            <w:pPr>
              <w:spacing w:after="80" w:before="80" w:line="252" w:lineRule="auto"/>
            </w:pPr>
            <w:r>
              <w:rPr>
                <w:sz w:val="18"/>
              </w:rPr>
              <w:t>N/A</w:t>
            </w:r>
          </w:p>
        </w:tc>
        <w:tc>
          <w:tcPr>
            <w:tcW w:type="dxa" w:w="936"/>
            <w:shd w:fill="F0F5F8"/>
          </w:tcPr>
          <w:p>
            <w:pPr>
              <w:spacing w:after="80" w:before="80" w:line="252" w:lineRule="auto"/>
            </w:pPr>
            <w:r>
              <w:rPr>
                <w:sz w:val="18"/>
              </w:rPr>
              <w:t>0.00</w:t>
            </w:r>
          </w:p>
        </w:tc>
        <w:tc>
          <w:tcPr>
            <w:tcW w:type="dxa" w:w="4637"/>
            <w:shd w:fill="F0F5F8"/>
          </w:tcPr>
          <w:p>
            <w:pPr>
              <w:spacing w:after="80" w:before="80" w:line="252" w:lineRule="auto"/>
            </w:pPr>
            <w:r>
              <w:rPr>
                <w:sz w:val="18"/>
              </w:rPr>
              <w:t>N/A (no factual claims)</w:t>
            </w:r>
          </w:p>
        </w:tc>
      </w:tr>
      <w:tr>
        <w:trPr>
          <w:cantSplit/>
        </w:trPr>
        <w:tc>
          <w:tcPr>
            <w:tcW w:type="dxa" w:w="605"/>
          </w:tcPr>
          <w:p>
            <w:pPr>
              <w:spacing w:after="80" w:before="80" w:line="252" w:lineRule="auto"/>
            </w:pPr>
            <w:r>
              <w:rPr>
                <w:sz w:val="18"/>
              </w:rPr>
              <w:t>U1</w:t>
            </w:r>
          </w:p>
        </w:tc>
        <w:tc>
          <w:tcPr>
            <w:tcW w:type="dxa" w:w="1526"/>
          </w:tcPr>
          <w:p>
            <w:pPr>
              <w:spacing w:after="80" w:before="80" w:line="252" w:lineRule="auto"/>
            </w:pPr>
            <w:r>
              <w:rPr>
                <w:sz w:val="18"/>
              </w:rPr>
              <w:t>Unsupported</w:t>
            </w:r>
          </w:p>
        </w:tc>
        <w:tc>
          <w:tcPr>
            <w:tcW w:type="dxa" w:w="936"/>
          </w:tcPr>
          <w:p>
            <w:pPr>
              <w:spacing w:after="80" w:before="80" w:line="252" w:lineRule="auto"/>
            </w:pPr>
            <w:r>
              <w:rPr>
                <w:sz w:val="18"/>
              </w:rPr>
              <w:t>Pass</w:t>
            </w:r>
          </w:p>
        </w:tc>
        <w:tc>
          <w:tcPr>
            <w:tcW w:type="dxa" w:w="1224"/>
          </w:tcPr>
          <w:p>
            <w:pPr>
              <w:spacing w:after="80" w:before="80" w:line="252" w:lineRule="auto"/>
            </w:pPr>
            <w:r>
              <w:rPr>
                <w:sz w:val="18"/>
              </w:rPr>
              <w:t>N/A</w:t>
            </w:r>
          </w:p>
        </w:tc>
        <w:tc>
          <w:tcPr>
            <w:tcW w:type="dxa" w:w="936"/>
          </w:tcPr>
          <w:p>
            <w:pPr>
              <w:spacing w:after="80" w:before="80" w:line="252" w:lineRule="auto"/>
            </w:pPr>
            <w:r>
              <w:rPr>
                <w:sz w:val="18"/>
              </w:rPr>
              <w:t>3.36</w:t>
            </w:r>
          </w:p>
        </w:tc>
        <w:tc>
          <w:tcPr>
            <w:tcW w:type="dxa" w:w="4637"/>
          </w:tcPr>
          <w:p>
            <w:pPr>
              <w:spacing w:after="80" w:before="80" w:line="252" w:lineRule="auto"/>
            </w:pPr>
            <w:r>
              <w:rPr>
                <w:sz w:val="18"/>
              </w:rPr>
              <w:t>N/A (no factual claims)</w:t>
            </w:r>
          </w:p>
        </w:tc>
      </w:tr>
      <w:tr>
        <w:trPr>
          <w:cantSplit/>
        </w:trPr>
        <w:tc>
          <w:tcPr>
            <w:tcW w:type="dxa" w:w="605"/>
            <w:shd w:fill="F0F5F8"/>
          </w:tcPr>
          <w:p>
            <w:pPr>
              <w:spacing w:after="80" w:before="80" w:line="252" w:lineRule="auto"/>
            </w:pPr>
            <w:r>
              <w:rPr>
                <w:sz w:val="18"/>
              </w:rPr>
              <w:t>U2</w:t>
            </w:r>
          </w:p>
        </w:tc>
        <w:tc>
          <w:tcPr>
            <w:tcW w:type="dxa" w:w="1526"/>
            <w:shd w:fill="F0F5F8"/>
          </w:tcPr>
          <w:p>
            <w:pPr>
              <w:spacing w:after="80" w:before="80" w:line="252" w:lineRule="auto"/>
            </w:pPr>
            <w:r>
              <w:rPr>
                <w:sz w:val="18"/>
              </w:rPr>
              <w:t>Unsupported</w:t>
            </w:r>
          </w:p>
        </w:tc>
        <w:tc>
          <w:tcPr>
            <w:tcW w:type="dxa" w:w="936"/>
            <w:shd w:fill="F0F5F8"/>
          </w:tcPr>
          <w:p>
            <w:pPr>
              <w:spacing w:after="80" w:before="80" w:line="252" w:lineRule="auto"/>
            </w:pPr>
            <w:r>
              <w:rPr>
                <w:sz w:val="18"/>
              </w:rPr>
              <w:t>Pass</w:t>
            </w:r>
          </w:p>
        </w:tc>
        <w:tc>
          <w:tcPr>
            <w:tcW w:type="dxa" w:w="1224"/>
            <w:shd w:fill="F0F5F8"/>
          </w:tcPr>
          <w:p>
            <w:pPr>
              <w:spacing w:after="80" w:before="80" w:line="252" w:lineRule="auto"/>
            </w:pPr>
            <w:r>
              <w:rPr>
                <w:sz w:val="18"/>
              </w:rPr>
              <w:t>N/A</w:t>
            </w:r>
          </w:p>
        </w:tc>
        <w:tc>
          <w:tcPr>
            <w:tcW w:type="dxa" w:w="936"/>
            <w:shd w:fill="F0F5F8"/>
          </w:tcPr>
          <w:p>
            <w:pPr>
              <w:spacing w:after="80" w:before="80" w:line="252" w:lineRule="auto"/>
            </w:pPr>
            <w:r>
              <w:rPr>
                <w:sz w:val="18"/>
              </w:rPr>
              <w:t>2.66</w:t>
            </w:r>
          </w:p>
        </w:tc>
        <w:tc>
          <w:tcPr>
            <w:tcW w:type="dxa" w:w="4637"/>
            <w:shd w:fill="F0F5F8"/>
          </w:tcPr>
          <w:p>
            <w:pPr>
              <w:spacing w:after="80" w:before="80" w:line="252" w:lineRule="auto"/>
            </w:pPr>
            <w:r>
              <w:rPr>
                <w:sz w:val="18"/>
              </w:rPr>
              <w:t>N/A (no factual claims)</w:t>
            </w:r>
          </w:p>
        </w:tc>
      </w:tr>
      <w:tr>
        <w:trPr>
          <w:cantSplit/>
        </w:trPr>
        <w:tc>
          <w:tcPr>
            <w:tcW w:type="dxa" w:w="605"/>
          </w:tcPr>
          <w:p>
            <w:pPr>
              <w:spacing w:after="80" w:before="80" w:line="252" w:lineRule="auto"/>
            </w:pPr>
            <w:r>
              <w:rPr>
                <w:sz w:val="18"/>
              </w:rPr>
              <w:t>U3</w:t>
            </w:r>
          </w:p>
        </w:tc>
        <w:tc>
          <w:tcPr>
            <w:tcW w:type="dxa" w:w="1526"/>
          </w:tcPr>
          <w:p>
            <w:pPr>
              <w:spacing w:after="80" w:before="80" w:line="252" w:lineRule="auto"/>
            </w:pPr>
            <w:r>
              <w:rPr>
                <w:sz w:val="18"/>
              </w:rPr>
              <w:t>Unsupported</w:t>
            </w:r>
          </w:p>
        </w:tc>
        <w:tc>
          <w:tcPr>
            <w:tcW w:type="dxa" w:w="936"/>
          </w:tcPr>
          <w:p>
            <w:pPr>
              <w:spacing w:after="80" w:before="80" w:line="252" w:lineRule="auto"/>
            </w:pPr>
            <w:r>
              <w:rPr>
                <w:sz w:val="18"/>
              </w:rPr>
              <w:t>Pass</w:t>
            </w:r>
          </w:p>
        </w:tc>
        <w:tc>
          <w:tcPr>
            <w:tcW w:type="dxa" w:w="1224"/>
          </w:tcPr>
          <w:p>
            <w:pPr>
              <w:spacing w:after="80" w:before="80" w:line="252" w:lineRule="auto"/>
            </w:pPr>
            <w:r>
              <w:rPr>
                <w:sz w:val="18"/>
              </w:rPr>
              <w:t>N/A</w:t>
            </w:r>
          </w:p>
        </w:tc>
        <w:tc>
          <w:tcPr>
            <w:tcW w:type="dxa" w:w="936"/>
          </w:tcPr>
          <w:p>
            <w:pPr>
              <w:spacing w:after="80" w:before="80" w:line="252" w:lineRule="auto"/>
            </w:pPr>
            <w:r>
              <w:rPr>
                <w:sz w:val="18"/>
              </w:rPr>
              <w:t>3.86</w:t>
            </w:r>
          </w:p>
        </w:tc>
        <w:tc>
          <w:tcPr>
            <w:tcW w:type="dxa" w:w="4637"/>
          </w:tcPr>
          <w:p>
            <w:pPr>
              <w:spacing w:after="80" w:before="80" w:line="252" w:lineRule="auto"/>
            </w:pPr>
            <w:r>
              <w:rPr>
                <w:sz w:val="18"/>
              </w:rPr>
              <w:t>N/A (no factual claims)</w:t>
            </w:r>
          </w:p>
        </w:tc>
      </w:tr>
    </w:tbl>
    <w:p>
      <w:pPr>
        <w:spacing w:after="0"/>
      </w:pPr>
    </w:p>
    <w:p>
      <w:pPr>
        <w:pStyle w:val="Heading2"/>
      </w:pPr>
      <w:r>
        <w:t>Citation and claim audit</w:t>
      </w:r>
    </w:p>
    <w:p>
      <w:r>
        <w:t xml:space="preserve">All 26 final hybrid claims passed source-ID and exact-excerpt checks. A separate Codex assistant evidence audit rated </w:t>
      </w:r>
      <w:r>
        <w:rPr>
          <w:b/>
        </w:rPr>
        <w:t>25/26 claims (96.2%) fully supported</w:t>
      </w:r>
      <w:r>
        <w:t xml:space="preserve"> in question context. This exceeds the 90% development target but is not independent human or legal validation. The dense baseline was not separately audited for semantic claim support.</w:t>
      </w:r>
    </w:p>
    <w:p>
      <w:r>
        <w:t>One retained failure is C3 claim 1: the answer describes original contributions as a “mandatory criterion.” The supplied policy makes it one evidentiary route; the wording is too broad. The quote is real, which demonstrates why citation integrity is not the same as factual faithfulness. The app remains a research aid requiring source review.</w:t>
      </w:r>
    </w:p>
    <w:p>
      <w:pPr>
        <w:pStyle w:val="Heading2"/>
      </w:pPr>
      <w:r>
        <w:t>Method and limits</w:t>
      </w:r>
    </w:p>
    <w:p>
      <w:pPr>
        <w:pStyle w:val="ListBullet"/>
      </w:pPr>
      <w:r>
        <w:t>Gold passage IDs and expected behaviors were written before the live evaluation. Nine answerable questions have 1–2 essential gold passages each; six non-answer cases are excluded from retrieval averages.</w:t>
      </w:r>
    </w:p>
    <w:p>
      <w:pPr>
        <w:pStyle w:val="ListBullet"/>
      </w:pPr>
      <w:r>
        <w:t>Gold precision is the fraction of four retrieved passages matching the small essential-gold set, not an exhaustive judgment that all other retrieved passages are irrelevant. Gold recall measures coverage of that set.</w:t>
      </w:r>
    </w:p>
    <w:p>
      <w:pPr>
        <w:pStyle w:val="ListBullet"/>
      </w:pPr>
      <w:r>
        <w:t>Behavior accuracy checks the returned status, not the full correctness of an answer. The semantic audit is reported separately and does not count refusals as supported factual claims.</w:t>
      </w:r>
    </w:p>
    <w:p>
      <w:pPr>
        <w:pStyle w:val="ListBullet"/>
      </w:pPr>
      <w:r>
        <w:t>Latency includes embedding, retrieval, reranking and generation. The three deterministic clarifications take approximately zero seconds. Runs used up to three concurrent evaluation requests; these small samples do not establish a stable speed advantage for hybrid retrieval.</w:t>
      </w:r>
    </w:p>
    <w:p>
      <w:pPr>
        <w:pStyle w:val="ListBullet"/>
      </w:pPr>
      <w:r>
        <w:t>Both modes retrieved all labeled essential evidence in this final sample. No retrieval-recall gain from reranking is claimed. The 15-question set was used during development and is not held out.</w:t>
      </w:r>
    </w:p>
    <w:p>
      <w:pPr>
        <w:pStyle w:val="ListBullet"/>
      </w:pPr>
      <w:r>
        <w:t>The corpus is an OCR-derived dated snapshot. Only selected source pages received visual checks. Independent review and a fresh held-out evaluation remain useful before broader use.</w:t>
      </w:r>
    </w:p>
    <w:p>
      <w:pPr>
        <w:pStyle w:val="Heading2"/>
      </w:pPr>
      <w:r>
        <w:t>Failure analysis and iterations</w:t>
      </w:r>
    </w:p>
    <w:p>
      <w:r>
        <w:t>1. Direct text extraction was garbled. Upright image derivatives and LlamaParse OCR produced usable text; the original PDF was preserved.</w:t>
      </w:r>
    </w:p>
    <w:p>
      <w:r>
        <w:t>2. Table headings and generic “Considerations” labels initially lost useful section context. Cleaning now retains criterion headings and their context.</w:t>
      </w:r>
    </w:p>
    <w:p>
      <w:r>
        <w:t>3. Initial generation wrote quotations with ellipses or other changes; strict verification refused otherwise plausible answers. Evidence-ID selection now attaches exact source text in code.</w:t>
      </w:r>
    </w:p>
    <w:p>
      <w:r>
        <w:t>4. The initial model answered Ambiguous category questions. A category clarification guard now handles those before retrieval.</w:t>
      </w:r>
    </w:p>
    <w:p>
      <w:r>
        <w:t>5. Source review found overbroad/tangential smaller-model claims even after behavior checks passed. The final larger model improved precision and observed latency, but one criterion-scope error remains and is explicitly scored as a failure.</w:t>
      </w:r>
    </w:p>
    <w:p>
      <w:r>
        <w:t xml:space="preserve">Earlier raw results are retained in </w:t>
      </w:r>
      <w:hyperlink r:id="rId17">
        <w:r>
          <w:rPr>
            <w:color w:val="147D92"/>
            <w:u w:val="single"/>
          </w:rPr>
          <w:t>evals/iteration1</w:t>
        </w:r>
      </w:hyperlink>
      <w:r>
        <w:t xml:space="preserve">, </w:t>
      </w:r>
      <w:r>
        <w:rPr>
          <w:rFonts w:ascii="Consolas" w:hAnsi="Consolas"/>
          <w:sz w:val="18"/>
        </w:rPr>
        <w:t>iteration2</w:t>
      </w:r>
      <w:r>
        <w:t xml:space="preserve">, and </w:t>
      </w:r>
      <w:r>
        <w:rPr>
          <w:rFonts w:ascii="Consolas" w:hAnsi="Consolas"/>
          <w:sz w:val="18"/>
        </w:rPr>
        <w:t>iteration3</w:t>
      </w:r>
      <w:r>
        <w:t xml:space="preserve">. Final question definitions, raw answers, sources and timing are in </w:t>
      </w:r>
      <w:hyperlink r:id="rId18">
        <w:r>
          <w:rPr>
            <w:color w:val="147D92"/>
            <w:u w:val="single"/>
          </w:rPr>
          <w:t>evals/questions.json</w:t>
        </w:r>
      </w:hyperlink>
      <w:r>
        <w:t xml:space="preserve"> and </w:t>
      </w:r>
      <w:hyperlink r:id="rId19">
        <w:r>
          <w:rPr>
            <w:color w:val="147D92"/>
            <w:u w:val="single"/>
          </w:rPr>
          <w:t>evals/results/</w:t>
        </w:r>
      </w:hyperlink>
      <w:r>
        <w:t xml:space="preserve">. Audit judgments are in </w:t>
      </w:r>
      <w:hyperlink r:id="rId20">
        <w:r>
          <w:rPr>
            <w:color w:val="147D92"/>
            <w:u w:val="single"/>
          </w:rPr>
          <w:t>evals/claim_review.json</w:t>
        </w:r>
      </w:hyperlink>
      <w:r>
        <w:t>.</w:t>
      </w:r>
    </w:p>
    <w:p>
      <w:pPr>
        <w:pStyle w:val="Heading1"/>
      </w:pPr>
      <w:r>
        <w:t>Access and reproducibility</w:t>
      </w:r>
    </w:p>
    <w:p>
      <w:r>
        <w:t>The public repository contains the standalone app, prepared policy corpus, precomputed index, exact prompts, evaluation artifacts, tests and setup instructions. Run it locally with Python 3.12 by following the repository README; live requests require a locally configured Nebius key.</w:t>
      </w:r>
    </w:p>
    <w:p>
      <w:r>
        <w:t>Opening the app or restoring its index does not require another LlamaParse job. Tests use controlled substitutes for provider calls. Re-running the live evaluation consumes Nebius credits. Existing evaluation artifacts preserve the original measurements and documented failures.</w:t>
      </w:r>
    </w:p>
    <w:p>
      <w:pPr>
        <w:pStyle w:val="Heading1"/>
      </w:pPr>
      <w:r>
        <w:t>Source and implementation references</w:t>
      </w:r>
    </w:p>
    <w:p>
      <w:pPr>
        <w:pStyle w:val="ListBullet"/>
      </w:pPr>
      <w:hyperlink r:id="rId21">
        <w:r>
          <w:rPr>
            <w:color w:val="147D92"/>
            <w:u w:val="single"/>
          </w:rPr>
          <w:t>USCIS: Extraordinary Ability (EB-1A)</w:t>
        </w:r>
      </w:hyperlink>
    </w:p>
    <w:p>
      <w:pPr>
        <w:pStyle w:val="ListBullet"/>
      </w:pPr>
      <w:hyperlink r:id="rId22">
        <w:r>
          <w:rPr>
            <w:color w:val="147D92"/>
            <w:u w:val="single"/>
          </w:rPr>
          <w:t>USCIS: Outstanding Professor or Researcher (EB-1B)</w:t>
        </w:r>
      </w:hyperlink>
    </w:p>
    <w:p>
      <w:pPr>
        <w:pStyle w:val="ListBullet"/>
      </w:pPr>
      <w:hyperlink r:id="rId11">
        <w:r>
          <w:rPr>
            <w:color w:val="147D92"/>
            <w:u w:val="single"/>
          </w:rPr>
          <w:t>Project repository and setup</w:t>
        </w:r>
      </w:hyperlink>
    </w:p>
    <w:p>
      <w:pPr>
        <w:pStyle w:val="ListBullet"/>
      </w:pPr>
      <w:hyperlink r:id="rId23">
        <w:r>
          <w:rPr>
            <w:color w:val="147D92"/>
            <w:u w:val="single"/>
          </w:rPr>
          <w:t>Source preparation and provenance</w:t>
        </w:r>
      </w:hyperlink>
    </w:p>
    <w:p>
      <w:pPr>
        <w:pStyle w:val="ListBullet"/>
      </w:pPr>
      <w:hyperlink r:id="rId24">
        <w:r>
          <w:rPr>
            <w:color w:val="147D92"/>
            <w:u w:val="single"/>
          </w:rPr>
          <w:t>Evaluation artifacts</w:t>
        </w:r>
      </w:hyperlink>
    </w:p>
    <w:p>
      <w:pPr>
        <w:pStyle w:val="ListBullet"/>
      </w:pPr>
      <w:hyperlink r:id="rId25">
        <w:r>
          <w:rPr>
            <w:color w:val="147D92"/>
            <w:u w:val="single"/>
          </w:rPr>
          <w:t>Automated validation</w:t>
        </w:r>
      </w:hyperlink>
    </w:p>
    <w:sectPr w:rsidR="00FC693F" w:rsidRPr="0006063C" w:rsidSect="00034616">
      <w:headerReference w:type="default" r:id="rId9"/>
      <w:footerReference w:type="default" r:id="rId10"/>
      <w:pgSz w:w="12240" w:h="15840"/>
      <w:pgMar w:top="936" w:right="1188" w:bottom="936" w:left="118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EB-1 Policy Research  |  Week 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47D92"/>
        <w:sz w:val="16"/>
      </w:rPr>
      <w:t>WEEK 2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2634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bhargavkoduru/eb1-policy-qa-week2" TargetMode="External"/><Relationship Id="rId12" Type="http://schemas.openxmlformats.org/officeDocument/2006/relationships/hyperlink" Target="https://github.com/bhargavkoduru/eb1-policy-qa-week2/blob/main/docs/PROJECT_PLAN.md" TargetMode="External"/><Relationship Id="rId13" Type="http://schemas.openxmlformats.org/officeDocument/2006/relationships/hyperlink" Target="https://github.com/bhargavkoduru/eb1-policy-qa-week2/blob/main/eb1/qa.py" TargetMode="External"/><Relationship Id="rId14" Type="http://schemas.openxmlformats.org/officeDocument/2006/relationships/hyperlink" Target="https://github.com/bhargavkoduru/eb1-policy-qa-week2/blob/main/eb1/retrieval.py" TargetMode="External"/><Relationship Id="rId15" Type="http://schemas.openxmlformats.org/officeDocument/2006/relationships/hyperlink" Target="https://github.com/bhargavkoduru/eb1-policy-qa-week2/blob/main/docs/WEEK2_EVALUATION.md" TargetMode="External"/><Relationship Id="rId16" Type="http://schemas.openxmlformats.org/officeDocument/2006/relationships/hyperlink" Target="https://github.com/bhargavkoduru/eb1-policy-qa-week2/blob/main/evals/" TargetMode="External"/><Relationship Id="rId17" Type="http://schemas.openxmlformats.org/officeDocument/2006/relationships/hyperlink" Target="https://github.com/bhargavkoduru/eb1-policy-qa-week2/blob/main/evals/iteration1" TargetMode="External"/><Relationship Id="rId18" Type="http://schemas.openxmlformats.org/officeDocument/2006/relationships/hyperlink" Target="https://github.com/bhargavkoduru/eb1-policy-qa-week2/blob/main/evals/questions.json" TargetMode="External"/><Relationship Id="rId19" Type="http://schemas.openxmlformats.org/officeDocument/2006/relationships/hyperlink" Target="https://github.com/bhargavkoduru/eb1-policy-qa-week2/blob/main/evals/results/" TargetMode="External"/><Relationship Id="rId20" Type="http://schemas.openxmlformats.org/officeDocument/2006/relationships/hyperlink" Target="https://github.com/bhargavkoduru/eb1-policy-qa-week2/blob/main/evals/claim_review.json" TargetMode="External"/><Relationship Id="rId21" Type="http://schemas.openxmlformats.org/officeDocument/2006/relationships/hyperlink" Target="https://www.uscis.gov/policy-manual/volume-6-part-f-chapter-2" TargetMode="External"/><Relationship Id="rId22" Type="http://schemas.openxmlformats.org/officeDocument/2006/relationships/hyperlink" Target="https://www.uscis.gov/policy-manual/volume-6-part-f-chapter-3" TargetMode="External"/><Relationship Id="rId23" Type="http://schemas.openxmlformats.org/officeDocument/2006/relationships/hyperlink" Target="https://github.com/bhargavkoduru/eb1-policy-qa-week2/blob/main/docs/SOURCE_AUDIT.md" TargetMode="External"/><Relationship Id="rId24" Type="http://schemas.openxmlformats.org/officeDocument/2006/relationships/hyperlink" Target="https://github.com/bhargavkoduru/eb1-policy-qa-week2/tree/main/evals" TargetMode="External"/><Relationship Id="rId25" Type="http://schemas.openxmlformats.org/officeDocument/2006/relationships/hyperlink" Target="https://github.com/bhargavkoduru/eb1-policy-qa-week2/actions/workflows/tests.y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USCIS EB-1 Policy Q&amp;A — Week 2 Project Report</dc:title>
  <dc:subject>Course project documentation</dc:subject>
  <dc:creator/>
  <cp:keywords>USCIS, EB-1, policy research, project report</cp:keywords>
  <dc:description/>
  <cp:lastModifiedBy/>
  <cp:revision>1</cp:revision>
  <dcterms:created xsi:type="dcterms:W3CDTF">2013-12-23T23:15:00Z</dcterms:created>
  <dcterms:modified xsi:type="dcterms:W3CDTF">2013-12-23T23:15:00Z</dcterms:modified>
  <cp:category/>
</cp:coreProperties>
</file>