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aps/>
          <w:color w:val="2E75B6"/>
          <w:sz w:val="28"/>
          <w:szCs w:val="28"/>
        </w:rPr>
        <w:t xml:space="preserve">DUBLIN BUSINESS SCHOOL</w:t>
      </w:r>
    </w:p>
    <w:p>
      <w:pPr>
        <w:spacing w:after="100" w:before="0"/>
        <w:jc w:val="center"/>
      </w:pPr>
      <w:r>
        <w:rPr>
          <w:rFonts w:ascii="Calibri" w:cs="Calibri" w:eastAsia="Calibri" w:hAnsi="Calibri"/>
          <w:i/>
          <w:iCs/>
          <w:color w:val="595959"/>
          <w:sz w:val="22"/>
          <w:szCs w:val="22"/>
        </w:rPr>
        <w:t xml:space="preserve">School of Computing</w:t>
      </w:r>
    </w:p>
    <w:p>
      <w:pPr>
        <w:pBdr>
          <w:bottom w:val="single" w:color="2E75B6" w:sz="4" w:space="1"/>
        </w:pBdr>
        <w:spacing w:after="160" w:before="160"/>
      </w:pPr>
    </w:p>
    <w:p>
      <w:pPr>
        <w:spacing w:after="200" w:before="200"/>
        <w:jc w:val="center"/>
      </w:pPr>
      <w:r>
        <w:rPr>
          <w:rFonts w:ascii="Calibri" w:cs="Calibri" w:eastAsia="Calibri" w:hAnsi="Calibri"/>
          <w:b/>
          <w:bCs/>
          <w:color w:val="1F3864"/>
          <w:sz w:val="44"/>
          <w:szCs w:val="44"/>
        </w:rPr>
        <w:t xml:space="preserve">Online / Incremental Stock Price Forecasting</w:t>
      </w:r>
    </w:p>
    <w:p>
      <w:pPr>
        <w:spacing w:after="100" w:before="0"/>
        <w:jc w:val="center"/>
      </w:pPr>
      <w:r>
        <w:rPr>
          <w:rFonts w:ascii="Calibri" w:cs="Calibri" w:eastAsia="Calibri" w:hAnsi="Calibri"/>
          <w:i/>
          <w:iCs/>
          <w:color w:val="595959"/>
          <w:sz w:val="26"/>
          <w:szCs w:val="26"/>
        </w:rPr>
        <w:t xml:space="preserve">Using Vanilla LSTM, Online LSTM, and IL-ETransformer with EWC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Module Title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Deep Learning</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Module Code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B9AI104</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Module Lecturer</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 Shahram Azizi Sazi</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Programme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MSc in Artificial Intelligence</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Assessment</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CA02 (60% weighting)</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Submission</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Week 12</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libri" w:cs="Calibri" w:eastAsia="Calibri" w:hAnsi="Calibri"/>
                <w:b/>
                <w:bCs/>
                <w:color w:val="1F3864"/>
                <w:sz w:val="20"/>
                <w:szCs w:val="20"/>
              </w:rPr>
              <w:t xml:space="preserve">Assessment Type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Individual</w:t>
            </w:r>
          </w:p>
        </w:tc>
      </w:tr>
    </w:tbl>
    <w:p>
      <w:pPr>
        <w:spacing w:after="60" w:before="60"/>
      </w:pPr>
      <w:r>
        <w:t xml:space="preserve"/>
      </w:r>
    </w:p>
    <w:p>
      <w:pPr>
        <w:spacing w:after="60" w:before="60"/>
      </w:pPr>
      <w:r>
        <w:t xml:space="preserve"/>
      </w:r>
    </w:p>
    <w:p>
      <w:r>
        <w:br w:type="page"/>
      </w:r>
    </w:p>
    <w:p>
      <w:pPr>
        <w:pStyle w:val="Heading1"/>
      </w:pPr>
      <w:r>
        <w:rPr>
          <w:rFonts w:ascii="Calibri" w:cs="Calibri" w:eastAsia="Calibri" w:hAnsi="Calibri"/>
          <w:b/>
          <w:bCs/>
          <w:color w:val="1F3864"/>
          <w:sz w:val="36"/>
          <w:szCs w:val="36"/>
        </w:rPr>
        <w:t xml:space="preserve">1. Introduction</w:t>
      </w:r>
    </w:p>
    <w:p>
      <w:pPr>
        <w:spacing w:after="80" w:before="80"/>
        <w:jc w:val="both"/>
      </w:pPr>
      <w:r>
        <w:rPr>
          <w:rFonts w:ascii="Calibri" w:cs="Calibri" w:eastAsia="Calibri" w:hAnsi="Calibri"/>
          <w:color w:val="000000"/>
          <w:sz w:val="22"/>
          <w:szCs w:val="22"/>
        </w:rPr>
        <w:t xml:space="preserve">Financial time-series forecasting is one of the most challenging and consequential applications of machine learning. Stock prices are non-stationary, noisy, and subject to sudden regime shifts driven by macroeconomic events, earnings releases, and market sentiment. Classical statistical models such as ARIMA struggle to capture complex non-linear dependencies, while standard deep learning models trained offline become stale as market dynamics evolve over time.</w:t>
      </w:r>
    </w:p>
    <w:p>
      <w:pPr>
        <w:spacing w:after="80" w:before="80"/>
        <w:jc w:val="both"/>
      </w:pPr>
      <w:r>
        <w:rPr>
          <w:rFonts w:ascii="Calibri" w:cs="Calibri" w:eastAsia="Calibri" w:hAnsi="Calibri"/>
          <w:color w:val="000000"/>
          <w:sz w:val="22"/>
          <w:szCs w:val="22"/>
        </w:rPr>
        <w:t xml:space="preserve">This report presents a comparative study of three deep learning architectures applied to Apple Inc. (AAPL) daily closing price forecasting using data spanning 2015 to 2024. The core research question is: can incremental and continual-learning approaches significantly outperform a static baseline when market conditions shift?</w:t>
      </w:r>
    </w:p>
    <w:p>
      <w:pPr>
        <w:spacing w:after="80" w:before="80"/>
        <w:jc w:val="both"/>
      </w:pPr>
      <w:r>
        <w:rPr>
          <w:rFonts w:ascii="Calibri" w:cs="Calibri" w:eastAsia="Calibri" w:hAnsi="Calibri"/>
          <w:b/>
          <w:bCs/>
          <w:color w:val="000000"/>
          <w:sz w:val="22"/>
          <w:szCs w:val="22"/>
        </w:rPr>
        <w:t xml:space="preserve">Model 1: Vanilla LSTM</w:t>
      </w:r>
      <w:r>
        <w:rPr>
          <w:rFonts w:ascii="Calibri" w:cs="Calibri" w:eastAsia="Calibri" w:hAnsi="Calibri"/>
          <w:color w:val="000000"/>
          <w:sz w:val="22"/>
          <w:szCs w:val="22"/>
        </w:rPr>
        <w:t xml:space="preserve"> — A two-layer stacked Long Short-Term Memory network trained entirely offline. This model serves as the static baseline and receives no weight updates after deployment.</w:t>
      </w:r>
    </w:p>
    <w:p>
      <w:pPr>
        <w:spacing w:after="80" w:before="80"/>
        <w:jc w:val="both"/>
      </w:pPr>
      <w:r>
        <w:rPr>
          <w:rFonts w:ascii="Calibri" w:cs="Calibri" w:eastAsia="Calibri" w:hAnsi="Calibri"/>
          <w:b/>
          <w:bCs/>
          <w:color w:val="000000"/>
          <w:sz w:val="22"/>
          <w:szCs w:val="22"/>
        </w:rPr>
        <w:t xml:space="preserve">Model 2: Online LSTM</w:t>
      </w:r>
      <w:r>
        <w:rPr>
          <w:rFonts w:ascii="Calibri" w:cs="Calibri" w:eastAsia="Calibri" w:hAnsi="Calibri"/>
          <w:color w:val="000000"/>
          <w:sz w:val="22"/>
          <w:szCs w:val="22"/>
        </w:rPr>
        <w:t xml:space="preserve"> — Architecturally identical to Model 1 but extended with a streaming incremental update mechanism. The model's weights are periodically fine-tuned on newly arriving test windows, simulating real-time adaptation.</w:t>
      </w:r>
    </w:p>
    <w:p>
      <w:pPr>
        <w:spacing w:after="80" w:before="80"/>
        <w:jc w:val="both"/>
      </w:pPr>
      <w:r>
        <w:rPr>
          <w:rFonts w:ascii="Calibri" w:cs="Calibri" w:eastAsia="Calibri" w:hAnsi="Calibri"/>
          <w:b/>
          <w:bCs/>
          <w:color w:val="000000"/>
          <w:sz w:val="22"/>
          <w:szCs w:val="22"/>
        </w:rPr>
        <w:t xml:space="preserve">Model 3: IL-ETransformer</w:t>
      </w:r>
      <w:r>
        <w:rPr>
          <w:rFonts w:ascii="Calibri" w:cs="Calibri" w:eastAsia="Calibri" w:hAnsi="Calibri"/>
          <w:color w:val="000000"/>
          <w:sz w:val="22"/>
          <w:szCs w:val="22"/>
        </w:rPr>
        <w:t xml:space="preserve"> — An Incremental Learning Elastic-weight-consolidation Transformer. This advanced model combines a Transformer encoder with positional encoding and Elastic Weight Consolidation (EWC) regularisation to prevent catastrophic forgetting during incremental updates. The design is inspired by the IL-ETransformer with TSEWC framework published in PLOS ONE (2025).</w:t>
      </w:r>
    </w:p>
    <w:p>
      <w:pPr>
        <w:spacing w:after="80" w:before="80"/>
        <w:jc w:val="both"/>
      </w:pPr>
      <w:r>
        <w:rPr>
          <w:rFonts w:ascii="Calibri" w:cs="Calibri" w:eastAsia="Calibri" w:hAnsi="Calibri"/>
          <w:color w:val="000000"/>
          <w:sz w:val="22"/>
          <w:szCs w:val="22"/>
        </w:rPr>
        <w:t xml:space="preserve">All models are evaluated on a held-out test set using five metrics: Root Mean Squared Error (RMSE), Mean Absolute Error (MAE), Mean Squared Error (MSE), Mean Absolute Percentage Error (MAPE), and Directional Accuracy (DA%). The report is structured to address each section of the CA02 assessment rubric: dataset preparation, model architecture background, deep learning design and evaluation, and comparative analysis.</w:t>
      </w:r>
    </w:p>
    <w:p>
      <w:pPr>
        <w:pStyle w:val="Heading1"/>
      </w:pPr>
      <w:r>
        <w:rPr>
          <w:rFonts w:ascii="Calibri" w:cs="Calibri" w:eastAsia="Calibri" w:hAnsi="Calibri"/>
          <w:b/>
          <w:bCs/>
          <w:color w:val="1F3864"/>
          <w:sz w:val="36"/>
          <w:szCs w:val="36"/>
        </w:rPr>
        <w:t xml:space="preserve">2. Dataset Implementation</w:t>
      </w:r>
    </w:p>
    <w:p>
      <w:pPr>
        <w:pStyle w:val="Heading2"/>
      </w:pPr>
      <w:r>
        <w:rPr>
          <w:rFonts w:ascii="Calibri" w:cs="Calibri" w:eastAsia="Calibri" w:hAnsi="Calibri"/>
          <w:b/>
          <w:bCs/>
          <w:color w:val="2E75B6"/>
          <w:sz w:val="28"/>
          <w:szCs w:val="28"/>
        </w:rPr>
        <w:t xml:space="preserve">2.1 Data Source and Acquisition</w:t>
      </w:r>
    </w:p>
    <w:p>
      <w:pPr>
        <w:spacing w:after="80" w:before="80"/>
        <w:jc w:val="both"/>
      </w:pPr>
      <w:r>
        <w:rPr>
          <w:rFonts w:ascii="Calibri" w:cs="Calibri" w:eastAsia="Calibri" w:hAnsi="Calibri"/>
          <w:color w:val="000000"/>
          <w:sz w:val="22"/>
          <w:szCs w:val="22"/>
        </w:rPr>
        <w:t xml:space="preserve">Historical daily OHLCV (Open, High, Low, Close, Volume) data for Apple Inc. (ticker: AAPL) was downloaded programmatically using the yfinance library, covering the period from 1 January 2015 to 31 December 2024 — a span of approximately 2,515 trading days. The closing price is used as the prediction target. Any rows containing missing values were removed with a dropna() call prior to feature engineering.</w:t>
      </w:r>
    </w:p>
    <w:p>
      <w:pPr>
        <w:spacing w:after="80" w:before="80"/>
        <w:jc w:val="both"/>
      </w:pPr>
      <w:r>
        <w:rPr>
          <w:rFonts w:ascii="Calibri" w:cs="Calibri" w:eastAsia="Calibri" w:hAnsi="Calibri"/>
          <w:color w:val="000000"/>
          <w:sz w:val="22"/>
          <w:szCs w:val="22"/>
        </w:rPr>
        <w:t xml:space="preserve">The dataset covers multiple distinct market regimes: the steady bull market of 2015–2019, the COVID-19 crash and recovery in 2020, the technology bull run of 2020–2021, the 2022 rate-hike bear market, and the 2023–2024 recovery. This richness makes it an ideal testbed for evaluating model adaptability.</w:t>
      </w:r>
    </w:p>
    <w:p>
      <w:pPr>
        <w:pStyle w:val="Heading2"/>
      </w:pPr>
      <w:r>
        <w:rPr>
          <w:rFonts w:ascii="Calibri" w:cs="Calibri" w:eastAsia="Calibri" w:hAnsi="Calibri"/>
          <w:b/>
          <w:bCs/>
          <w:color w:val="2E75B6"/>
          <w:sz w:val="28"/>
          <w:szCs w:val="28"/>
        </w:rPr>
        <w:t xml:space="preserve">2.2 Feature Engineering</w:t>
      </w:r>
    </w:p>
    <w:p>
      <w:pPr>
        <w:spacing w:after="80" w:before="80"/>
        <w:jc w:val="both"/>
      </w:pPr>
      <w:r>
        <w:rPr>
          <w:rFonts w:ascii="Calibri" w:cs="Calibri" w:eastAsia="Calibri" w:hAnsi="Calibri"/>
          <w:color w:val="000000"/>
          <w:sz w:val="22"/>
          <w:szCs w:val="22"/>
        </w:rPr>
        <w:t xml:space="preserve">Beyond raw OHLCV data, eleven technical indicators were derived to enrich the feature space and provide the models with interpretable market signals. This is consistent with established practice in the deep learning for finance literature (Sezer, Gudelek and Ozbayoglu, 2020). The eleven input features are:</w:t>
      </w:r>
    </w:p>
    <w:p>
      <w:pPr>
        <w:pStyle w:val="ListParagraph"/>
        <w:numPr>
          <w:ilvl w:val="0"/>
          <w:numId w:val="2"/>
        </w:numPr>
        <w:spacing w:after="40" w:before="40"/>
      </w:pPr>
      <w:r>
        <w:rPr>
          <w:rFonts w:ascii="Calibri" w:cs="Calibri" w:eastAsia="Calibri" w:hAnsi="Calibri"/>
          <w:color w:val="000000"/>
          <w:sz w:val="22"/>
          <w:szCs w:val="22"/>
        </w:rPr>
        <w:t xml:space="preserve">Close — Raw closing price (target variable, index 0)</w:t>
      </w:r>
    </w:p>
    <w:p>
      <w:pPr>
        <w:pStyle w:val="ListParagraph"/>
        <w:numPr>
          <w:ilvl w:val="0"/>
          <w:numId w:val="2"/>
        </w:numPr>
        <w:spacing w:after="40" w:before="40"/>
      </w:pPr>
      <w:r>
        <w:rPr>
          <w:rFonts w:ascii="Calibri" w:cs="Calibri" w:eastAsia="Calibri" w:hAnsi="Calibri"/>
          <w:color w:val="000000"/>
          <w:sz w:val="22"/>
          <w:szCs w:val="22"/>
        </w:rPr>
        <w:t xml:space="preserve">log_return — Daily logarithmic return: ln(Ct / Ct-1)</w:t>
      </w:r>
    </w:p>
    <w:p>
      <w:pPr>
        <w:pStyle w:val="ListParagraph"/>
        <w:numPr>
          <w:ilvl w:val="0"/>
          <w:numId w:val="2"/>
        </w:numPr>
        <w:spacing w:after="40" w:before="40"/>
      </w:pPr>
      <w:r>
        <w:rPr>
          <w:rFonts w:ascii="Calibri" w:cs="Calibri" w:eastAsia="Calibri" w:hAnsi="Calibri"/>
          <w:color w:val="000000"/>
          <w:sz w:val="22"/>
          <w:szCs w:val="22"/>
        </w:rPr>
        <w:t xml:space="preserve">sma_10 — Simple Moving Average over 10 days</w:t>
      </w:r>
    </w:p>
    <w:p>
      <w:pPr>
        <w:pStyle w:val="ListParagraph"/>
        <w:numPr>
          <w:ilvl w:val="0"/>
          <w:numId w:val="2"/>
        </w:numPr>
        <w:spacing w:after="40" w:before="40"/>
      </w:pPr>
      <w:r>
        <w:rPr>
          <w:rFonts w:ascii="Calibri" w:cs="Calibri" w:eastAsia="Calibri" w:hAnsi="Calibri"/>
          <w:color w:val="000000"/>
          <w:sz w:val="22"/>
          <w:szCs w:val="22"/>
        </w:rPr>
        <w:t xml:space="preserve">sma_50 — Simple Moving Average over 50 days</w:t>
      </w:r>
    </w:p>
    <w:p>
      <w:pPr>
        <w:pStyle w:val="ListParagraph"/>
        <w:numPr>
          <w:ilvl w:val="0"/>
          <w:numId w:val="2"/>
        </w:numPr>
        <w:spacing w:after="40" w:before="40"/>
      </w:pPr>
      <w:r>
        <w:rPr>
          <w:rFonts w:ascii="Calibri" w:cs="Calibri" w:eastAsia="Calibri" w:hAnsi="Calibri"/>
          <w:color w:val="000000"/>
          <w:sz w:val="22"/>
          <w:szCs w:val="22"/>
        </w:rPr>
        <w:t xml:space="preserve">std_10 — Rolling 10-day price standard deviation (short-term volatility)</w:t>
      </w:r>
    </w:p>
    <w:p>
      <w:pPr>
        <w:pStyle w:val="ListParagraph"/>
        <w:numPr>
          <w:ilvl w:val="0"/>
          <w:numId w:val="2"/>
        </w:numPr>
        <w:spacing w:after="40" w:before="40"/>
      </w:pPr>
      <w:r>
        <w:rPr>
          <w:rFonts w:ascii="Calibri" w:cs="Calibri" w:eastAsia="Calibri" w:hAnsi="Calibri"/>
          <w:color w:val="000000"/>
          <w:sz w:val="22"/>
          <w:szCs w:val="22"/>
        </w:rPr>
        <w:t xml:space="preserve">std_50 — Rolling 50-day price standard deviation (medium-term volatility)</w:t>
      </w:r>
    </w:p>
    <w:p>
      <w:pPr>
        <w:pStyle w:val="ListParagraph"/>
        <w:numPr>
          <w:ilvl w:val="0"/>
          <w:numId w:val="2"/>
        </w:numPr>
        <w:spacing w:after="40" w:before="40"/>
      </w:pPr>
      <w:r>
        <w:rPr>
          <w:rFonts w:ascii="Calibri" w:cs="Calibri" w:eastAsia="Calibri" w:hAnsi="Calibri"/>
          <w:color w:val="000000"/>
          <w:sz w:val="22"/>
          <w:szCs w:val="22"/>
        </w:rPr>
        <w:t xml:space="preserve">rsi — Relative Strength Index (14-day window)</w:t>
      </w:r>
    </w:p>
    <w:p>
      <w:pPr>
        <w:pStyle w:val="ListParagraph"/>
        <w:numPr>
          <w:ilvl w:val="0"/>
          <w:numId w:val="2"/>
        </w:numPr>
        <w:spacing w:after="40" w:before="40"/>
      </w:pPr>
      <w:r>
        <w:rPr>
          <w:rFonts w:ascii="Calibri" w:cs="Calibri" w:eastAsia="Calibri" w:hAnsi="Calibri"/>
          <w:color w:val="000000"/>
          <w:sz w:val="22"/>
          <w:szCs w:val="22"/>
        </w:rPr>
        <w:t xml:space="preserve">macd — Moving Average Convergence Divergence (12/26 EMA difference)</w:t>
      </w:r>
    </w:p>
    <w:p>
      <w:pPr>
        <w:pStyle w:val="ListParagraph"/>
        <w:numPr>
          <w:ilvl w:val="0"/>
          <w:numId w:val="2"/>
        </w:numPr>
        <w:spacing w:after="40" w:before="40"/>
      </w:pPr>
      <w:r>
        <w:rPr>
          <w:rFonts w:ascii="Calibri" w:cs="Calibri" w:eastAsia="Calibri" w:hAnsi="Calibri"/>
          <w:color w:val="000000"/>
          <w:sz w:val="22"/>
          <w:szCs w:val="22"/>
        </w:rPr>
        <w:t xml:space="preserve">macd_sig — 9-day EMA of MACD (signal line)</w:t>
      </w:r>
    </w:p>
    <w:p>
      <w:pPr>
        <w:pStyle w:val="ListParagraph"/>
        <w:numPr>
          <w:ilvl w:val="0"/>
          <w:numId w:val="2"/>
        </w:numPr>
        <w:spacing w:after="40" w:before="40"/>
      </w:pPr>
      <w:r>
        <w:rPr>
          <w:rFonts w:ascii="Calibri" w:cs="Calibri" w:eastAsia="Calibri" w:hAnsi="Calibri"/>
          <w:color w:val="000000"/>
          <w:sz w:val="22"/>
          <w:szCs w:val="22"/>
        </w:rPr>
        <w:t xml:space="preserve">bb_width — Bollinger Band width: (4 x std_20) / sma_20</w:t>
      </w:r>
    </w:p>
    <w:p>
      <w:pPr>
        <w:pStyle w:val="ListParagraph"/>
        <w:numPr>
          <w:ilvl w:val="0"/>
          <w:numId w:val="2"/>
        </w:numPr>
        <w:spacing w:after="40" w:before="40"/>
      </w:pPr>
      <w:r>
        <w:rPr>
          <w:rFonts w:ascii="Calibri" w:cs="Calibri" w:eastAsia="Calibri" w:hAnsi="Calibri"/>
          <w:color w:val="000000"/>
          <w:sz w:val="22"/>
          <w:szCs w:val="22"/>
        </w:rPr>
        <w:t xml:space="preserve">vol_change — Daily percentage change in traded volume</w:t>
      </w:r>
    </w:p>
    <w:p>
      <w:pPr>
        <w:spacing w:after="60" w:before="60"/>
      </w:pPr>
      <w:r>
        <w:t xml:space="preserve"/>
      </w:r>
    </w:p>
    <w:p>
      <w:pPr>
        <w:spacing w:after="80" w:before="80"/>
        <w:jc w:val="both"/>
      </w:pPr>
      <w:r>
        <w:rPr>
          <w:rFonts w:ascii="Calibri" w:cs="Calibri" w:eastAsia="Calibri" w:hAnsi="Calibri"/>
          <w:color w:val="000000"/>
          <w:sz w:val="22"/>
          <w:szCs w:val="22"/>
        </w:rPr>
        <w:t xml:space="preserve">RSI is computed following Wilder's original formulation: RSI = 100 - (100 / (1 + average gain / average loss)) over a 14-day window, with a small epsilon (1e-9) added to the denominator to prevent division by zero. An epsilon of 1e-9 is also applied to Bollinger Band width normalisation. After feature construction, rows containing NaN values resulting from rolling computations are dropped, leaving a clean dataset of approximately 2,465 trading days.</w:t>
      </w:r>
    </w:p>
    <w:p>
      <w:pPr>
        <w:pStyle w:val="Heading2"/>
      </w:pPr>
      <w:r>
        <w:rPr>
          <w:rFonts w:ascii="Calibri" w:cs="Calibri" w:eastAsia="Calibri" w:hAnsi="Calibri"/>
          <w:b/>
          <w:bCs/>
          <w:color w:val="2E75B6"/>
          <w:sz w:val="28"/>
          <w:szCs w:val="28"/>
        </w:rPr>
        <w:t xml:space="preserve">2.3 Normalisation</w:t>
      </w:r>
    </w:p>
    <w:p>
      <w:pPr>
        <w:spacing w:after="80" w:before="80"/>
        <w:jc w:val="both"/>
      </w:pPr>
      <w:r>
        <w:rPr>
          <w:rFonts w:ascii="Calibri" w:cs="Calibri" w:eastAsia="Calibri" w:hAnsi="Calibri"/>
          <w:color w:val="000000"/>
          <w:sz w:val="22"/>
          <w:szCs w:val="22"/>
        </w:rPr>
        <w:t xml:space="preserve">All eleven features are normalised to the range [0, 1] using Scikit-learn's MinMaxScaler fitted exclusively on the training partition to avoid look-ahead bias. The scaler is retained for inverse transformation during evaluation, allowing all metrics to be reported in the original USD price domain.</w:t>
      </w:r>
    </w:p>
    <w:p>
      <w:pPr>
        <w:pStyle w:val="Heading2"/>
      </w:pPr>
      <w:r>
        <w:rPr>
          <w:rFonts w:ascii="Calibri" w:cs="Calibri" w:eastAsia="Calibri" w:hAnsi="Calibri"/>
          <w:b/>
          <w:bCs/>
          <w:color w:val="2E75B6"/>
          <w:sz w:val="28"/>
          <w:szCs w:val="28"/>
        </w:rPr>
        <w:t xml:space="preserve">2.4 Sequence Construction and Data Splitting</w:t>
      </w:r>
    </w:p>
    <w:p>
      <w:pPr>
        <w:spacing w:after="80" w:before="80"/>
        <w:jc w:val="both"/>
      </w:pPr>
      <w:r>
        <w:rPr>
          <w:rFonts w:ascii="Calibri" w:cs="Calibri" w:eastAsia="Calibri" w:hAnsi="Calibri"/>
          <w:color w:val="000000"/>
          <w:sz w:val="22"/>
          <w:szCs w:val="22"/>
        </w:rPr>
        <w:t xml:space="preserve">A sliding window of LOOKBACK = 60 trading days is used to construct input-output pairs. For each time step t, the model receives the 11-dimensional feature matrix from t-60 to t-1 and is tasked with predicting the scaled closing price at time t. Temporal ordering is strictly preserved — no shuffling — to prevent data leakage.</w:t>
      </w:r>
    </w:p>
    <w:p>
      <w:pPr>
        <w:spacing w:after="80" w:before="80"/>
        <w:jc w:val="both"/>
      </w:pPr>
      <w:r>
        <w:rPr>
          <w:rFonts w:ascii="Calibri" w:cs="Calibri" w:eastAsia="Calibri" w:hAnsi="Calibri"/>
          <w:color w:val="000000"/>
          <w:sz w:val="22"/>
          <w:szCs w:val="22"/>
        </w:rPr>
        <w:t xml:space="preserve">The resulting sequence dataset is partitioned chronologically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Split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Proportion</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Approx. Samples</w:t>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Training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70%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~1,684</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Offline model training</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Calibri" w:cs="Calibri" w:eastAsia="Calibri" w:hAnsi="Calibri"/>
                <w:sz w:val="20"/>
                <w:szCs w:val="20"/>
              </w:rPr>
              <w:t xml:space="preserve">Validation</w:t>
            </w:r>
          </w:p>
        </w:tc>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Calibri" w:cs="Calibri" w:eastAsia="Calibri" w:hAnsi="Calibri"/>
                <w:sz w:val="20"/>
                <w:szCs w:val="20"/>
              </w:rPr>
              <w:t xml:space="preserve">15%</w:t>
            </w:r>
          </w:p>
        </w:tc>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Calibri" w:cs="Calibri" w:eastAsia="Calibri" w:hAnsi="Calibri"/>
                <w:sz w:val="20"/>
                <w:szCs w:val="20"/>
              </w:rPr>
              <w:t xml:space="preserve">~361</w:t>
            </w:r>
          </w:p>
        </w:tc>
        <w:tc>
          <w:tcPr>
            <w:tcW w:type="dxa" w:w="3026"/>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Calibri" w:cs="Calibri" w:eastAsia="Calibri" w:hAnsi="Calibri"/>
                <w:sz w:val="20"/>
                <w:szCs w:val="20"/>
              </w:rPr>
              <w:t xml:space="preserve">Hyperparameter tuning &amp; early stopping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Test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~360</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Final held-out evaluation</w:t>
            </w:r>
          </w:p>
        </w:tc>
      </w:tr>
    </w:tbl>
    <w:p>
      <w:pPr>
        <w:spacing w:after="60" w:before="60"/>
      </w:pPr>
      <w:r>
        <w:t xml:space="preserve"/>
      </w:r>
    </w:p>
    <w:p>
      <w:pPr>
        <w:spacing w:after="80" w:before="80"/>
        <w:jc w:val="both"/>
      </w:pPr>
      <w:r>
        <w:rPr>
          <w:rFonts w:ascii="Calibri" w:cs="Calibri" w:eastAsia="Calibri" w:hAnsi="Calibri"/>
          <w:color w:val="000000"/>
          <w:sz w:val="22"/>
          <w:szCs w:val="22"/>
        </w:rPr>
        <w:t xml:space="preserve">This split preserves the temporal structure of the time series — a critical requirement highlighted by Hochreiter and Schmidhuber (1997) and echoed in subsequent applied deep learning literature. Data leakage through random shuffling would produce unrealistically optimistic results.</w:t>
      </w:r>
    </w:p>
    <w:p>
      <w:pPr>
        <w:pStyle w:val="Heading1"/>
      </w:pPr>
      <w:r>
        <w:rPr>
          <w:rFonts w:ascii="Calibri" w:cs="Calibri" w:eastAsia="Calibri" w:hAnsi="Calibri"/>
          <w:b/>
          <w:bCs/>
          <w:color w:val="1F3864"/>
          <w:sz w:val="36"/>
          <w:szCs w:val="36"/>
        </w:rPr>
        <w:t xml:space="preserve">3. Model Architecture Background</w:t>
      </w:r>
    </w:p>
    <w:p>
      <w:pPr>
        <w:pStyle w:val="Heading2"/>
      </w:pPr>
      <w:r>
        <w:rPr>
          <w:rFonts w:ascii="Calibri" w:cs="Calibri" w:eastAsia="Calibri" w:hAnsi="Calibri"/>
          <w:b/>
          <w:bCs/>
          <w:color w:val="2E75B6"/>
          <w:sz w:val="28"/>
          <w:szCs w:val="28"/>
        </w:rPr>
        <w:t xml:space="preserve">3.1 Long Short-Term Memory (LSTM)</w:t>
      </w:r>
    </w:p>
    <w:p>
      <w:pPr>
        <w:spacing w:after="80" w:before="80"/>
        <w:jc w:val="both"/>
      </w:pPr>
      <w:r>
        <w:rPr>
          <w:rFonts w:ascii="Calibri" w:cs="Calibri" w:eastAsia="Calibri" w:hAnsi="Calibri"/>
          <w:color w:val="000000"/>
          <w:sz w:val="22"/>
          <w:szCs w:val="22"/>
        </w:rPr>
        <w:t xml:space="preserve">The Long Short-Term Memory network was introduced by Hochreiter and Schmidhuber (1997) to address the vanishing gradient problem inherent in vanilla Recurrent Neural Networks (RNNs). The core innovation is the cell state — a memory corridor gated by three learned mechanisms.</w:t>
      </w:r>
    </w:p>
    <w:p>
      <w:pPr>
        <w:spacing w:after="80" w:before="80"/>
        <w:jc w:val="both"/>
      </w:pPr>
      <w:r>
        <w:rPr>
          <w:rFonts w:ascii="Calibri" w:cs="Calibri" w:eastAsia="Calibri" w:hAnsi="Calibri"/>
          <w:color w:val="000000"/>
          <w:sz w:val="22"/>
          <w:szCs w:val="22"/>
        </w:rPr>
        <w:t xml:space="preserve">Given input xt, previous hidden state ht-1, and previous cell state ct-1, the LSTM cell at time t computes:</w:t>
      </w:r>
    </w:p>
    <w:p>
      <w:pPr>
        <w:spacing w:after="80" w:before="80"/>
        <w:jc w:val="both"/>
      </w:pPr>
      <w:r>
        <w:rPr>
          <w:rFonts w:ascii="Calibri" w:cs="Calibri" w:eastAsia="Calibri" w:hAnsi="Calibri"/>
          <w:i/>
          <w:iCs/>
          <w:color w:val="595959"/>
          <w:sz w:val="22"/>
          <w:szCs w:val="22"/>
        </w:rPr>
        <w:t xml:space="preserve">Forget gate:</w:t>
      </w:r>
      <w:r>
        <w:rPr>
          <w:rFonts w:ascii="Calibri" w:cs="Calibri" w:eastAsia="Calibri" w:hAnsi="Calibri"/>
          <w:color w:val="000000"/>
          <w:sz w:val="22"/>
          <w:szCs w:val="22"/>
        </w:rPr>
        <w:t xml:space="preserve">    ft = σ(Wf·[ht-1, xt] + bf)  — decides what fraction of the previous cell state to discard</w:t>
      </w:r>
    </w:p>
    <w:p>
      <w:pPr>
        <w:spacing w:after="80" w:before="80"/>
        <w:jc w:val="both"/>
      </w:pPr>
      <w:r>
        <w:rPr>
          <w:rFonts w:ascii="Calibri" w:cs="Calibri" w:eastAsia="Calibri" w:hAnsi="Calibri"/>
          <w:i/>
          <w:iCs/>
          <w:color w:val="595959"/>
          <w:sz w:val="22"/>
          <w:szCs w:val="22"/>
        </w:rPr>
        <w:t xml:space="preserve">Input gate:</w:t>
      </w:r>
      <w:r>
        <w:rPr>
          <w:rFonts w:ascii="Calibri" w:cs="Calibri" w:eastAsia="Calibri" w:hAnsi="Calibri"/>
          <w:color w:val="000000"/>
          <w:sz w:val="22"/>
          <w:szCs w:val="22"/>
        </w:rPr>
        <w:t xml:space="preserve">     it = σ(Wi·[ht-1, xt] + bi)  — determines which values to update in the cell state</w:t>
      </w:r>
    </w:p>
    <w:p>
      <w:pPr>
        <w:spacing w:after="80" w:before="80"/>
        <w:jc w:val="both"/>
      </w:pPr>
      <w:r>
        <w:rPr>
          <w:rFonts w:ascii="Calibri" w:cs="Calibri" w:eastAsia="Calibri" w:hAnsi="Calibri"/>
          <w:i/>
          <w:iCs/>
          <w:color w:val="595959"/>
          <w:sz w:val="22"/>
          <w:szCs w:val="22"/>
        </w:rPr>
        <w:t xml:space="preserve">Candidate:</w:t>
      </w:r>
      <w:r>
        <w:rPr>
          <w:rFonts w:ascii="Calibri" w:cs="Calibri" w:eastAsia="Calibri" w:hAnsi="Calibri"/>
          <w:color w:val="000000"/>
          <w:sz w:val="22"/>
          <w:szCs w:val="22"/>
        </w:rPr>
        <w:t xml:space="preserve">      c̃t = tanh(Wc·[ht-1, xt] + bc)  — new candidate values</w:t>
      </w:r>
    </w:p>
    <w:p>
      <w:pPr>
        <w:spacing w:after="80" w:before="80"/>
        <w:jc w:val="both"/>
      </w:pPr>
      <w:r>
        <w:rPr>
          <w:rFonts w:ascii="Calibri" w:cs="Calibri" w:eastAsia="Calibri" w:hAnsi="Calibri"/>
          <w:i/>
          <w:iCs/>
          <w:color w:val="595959"/>
          <w:sz w:val="22"/>
          <w:szCs w:val="22"/>
        </w:rPr>
        <w:t xml:space="preserve">Cell state:</w:t>
      </w:r>
      <w:r>
        <w:rPr>
          <w:rFonts w:ascii="Calibri" w:cs="Calibri" w:eastAsia="Calibri" w:hAnsi="Calibri"/>
          <w:color w:val="000000"/>
          <w:sz w:val="22"/>
          <w:szCs w:val="22"/>
        </w:rPr>
        <w:t xml:space="preserve">     ct = ft ⊙ ct-1 + it ⊙ c̃t  — updated cell state</w:t>
      </w:r>
    </w:p>
    <w:p>
      <w:pPr>
        <w:spacing w:after="80" w:before="80"/>
        <w:jc w:val="both"/>
      </w:pPr>
      <w:r>
        <w:rPr>
          <w:rFonts w:ascii="Calibri" w:cs="Calibri" w:eastAsia="Calibri" w:hAnsi="Calibri"/>
          <w:i/>
          <w:iCs/>
          <w:color w:val="595959"/>
          <w:sz w:val="22"/>
          <w:szCs w:val="22"/>
        </w:rPr>
        <w:t xml:space="preserve">Output gate:</w:t>
      </w:r>
      <w:r>
        <w:rPr>
          <w:rFonts w:ascii="Calibri" w:cs="Calibri" w:eastAsia="Calibri" w:hAnsi="Calibri"/>
          <w:color w:val="000000"/>
          <w:sz w:val="22"/>
          <w:szCs w:val="22"/>
        </w:rPr>
        <w:t xml:space="preserve">    ot = σ(Wo·[ht-1, xt] + bo)  — decides output scale</w:t>
      </w:r>
    </w:p>
    <w:p>
      <w:pPr>
        <w:spacing w:after="80" w:before="80"/>
        <w:jc w:val="both"/>
      </w:pPr>
      <w:r>
        <w:rPr>
          <w:rFonts w:ascii="Calibri" w:cs="Calibri" w:eastAsia="Calibri" w:hAnsi="Calibri"/>
          <w:i/>
          <w:iCs/>
          <w:color w:val="595959"/>
          <w:sz w:val="22"/>
          <w:szCs w:val="22"/>
        </w:rPr>
        <w:t xml:space="preserve">Hidden state:</w:t>
      </w:r>
      <w:r>
        <w:rPr>
          <w:rFonts w:ascii="Calibri" w:cs="Calibri" w:eastAsia="Calibri" w:hAnsi="Calibri"/>
          <w:color w:val="000000"/>
          <w:sz w:val="22"/>
          <w:szCs w:val="22"/>
        </w:rPr>
        <w:t xml:space="preserve">   ht = ot ⊙ tanh(ct)  — output hidden state</w:t>
      </w:r>
    </w:p>
    <w:p>
      <w:pPr>
        <w:spacing w:after="80" w:before="80"/>
        <w:jc w:val="both"/>
      </w:pPr>
      <w:r>
        <w:rPr>
          <w:rFonts w:ascii="Calibri" w:cs="Calibri" w:eastAsia="Calibri" w:hAnsi="Calibri"/>
          <w:color w:val="000000"/>
          <w:sz w:val="22"/>
          <w:szCs w:val="22"/>
        </w:rPr>
        <w:t xml:space="preserve">where σ denotes the sigmoid function and ⊙ is element-wise multiplication. A two-layer stacked LSTM configuration is used, where the hidden state of the first LSTM layer forms the input sequence for the second. This increases the model's capacity to learn hierarchical temporal representations (Graves, 2013).</w:t>
      </w:r>
    </w:p>
    <w:p>
      <w:pPr>
        <w:pStyle w:val="Heading2"/>
      </w:pPr>
      <w:r>
        <w:rPr>
          <w:rFonts w:ascii="Calibri" w:cs="Calibri" w:eastAsia="Calibri" w:hAnsi="Calibri"/>
          <w:b/>
          <w:bCs/>
          <w:color w:val="2E75B6"/>
          <w:sz w:val="28"/>
          <w:szCs w:val="28"/>
        </w:rPr>
        <w:t xml:space="preserve">3.2 Online / Incremental LSTM</w:t>
      </w:r>
    </w:p>
    <w:p>
      <w:pPr>
        <w:spacing w:after="80" w:before="80"/>
        <w:jc w:val="both"/>
      </w:pPr>
      <w:r>
        <w:rPr>
          <w:rFonts w:ascii="Calibri" w:cs="Calibri" w:eastAsia="Calibri" w:hAnsi="Calibri"/>
          <w:color w:val="000000"/>
          <w:sz w:val="22"/>
          <w:szCs w:val="22"/>
        </w:rPr>
        <w:t xml:space="preserve">Online learning, also referred to as incremental learning or streaming learning, refers to the paradigm where a model's parameters are updated continuously as new observations arrive, rather than requiring a full retraining cycle (Shalev-Shwartz, 2012). In financial applications, this is critical because market dynamics shift over time — a static model trained on historical data will deteriorate as the data distribution changes, a phenomenon known as concept drift (Gama et al., 2014).</w:t>
      </w:r>
    </w:p>
    <w:p>
      <w:pPr>
        <w:spacing w:after="80" w:before="80"/>
        <w:jc w:val="both"/>
      </w:pPr>
      <w:r>
        <w:rPr>
          <w:rFonts w:ascii="Calibri" w:cs="Calibri" w:eastAsia="Calibri" w:hAnsi="Calibri"/>
          <w:color w:val="000000"/>
          <w:sz w:val="22"/>
          <w:szCs w:val="22"/>
        </w:rPr>
        <w:t xml:space="preserve">Model 2 implements online learning by periodically fine-tuning the LSTM's weights on a sliding window of the most recent test-phase observations. Every ONLINE_WINDOW = 20 steps, a gradient update is performed using the most recent window as a mini-batch. This allows the model to track regime shifts without requiring full retraining. The learning rate during streaming is reduced to lr = 1e-4 (ten times smaller than the initial training rate) to prevent catastrophic forgetting of previously learned patterns.</w:t>
      </w:r>
    </w:p>
    <w:p>
      <w:pPr>
        <w:pStyle w:val="Heading2"/>
      </w:pPr>
      <w:r>
        <w:rPr>
          <w:rFonts w:ascii="Calibri" w:cs="Calibri" w:eastAsia="Calibri" w:hAnsi="Calibri"/>
          <w:b/>
          <w:bCs/>
          <w:color w:val="2E75B6"/>
          <w:sz w:val="28"/>
          <w:szCs w:val="28"/>
        </w:rPr>
        <w:t xml:space="preserve">3.3 Transformer Architecture</w:t>
      </w:r>
    </w:p>
    <w:p>
      <w:pPr>
        <w:spacing w:after="80" w:before="80"/>
        <w:jc w:val="both"/>
      </w:pPr>
      <w:r>
        <w:rPr>
          <w:rFonts w:ascii="Calibri" w:cs="Calibri" w:eastAsia="Calibri" w:hAnsi="Calibri"/>
          <w:color w:val="000000"/>
          <w:sz w:val="22"/>
          <w:szCs w:val="22"/>
        </w:rPr>
        <w:t xml:space="preserve">The Transformer architecture was introduced by Vaswani et al. (2017) in the landmark paper 'Attention Is All You Need'. Unlike recurrent networks, Transformers process entire sequences in parallel using the self-attention mechanism, which computes weighted relationships between all pairs of positions in a sequence simultaneously.</w:t>
      </w:r>
    </w:p>
    <w:p>
      <w:pPr>
        <w:spacing w:after="80" w:before="80"/>
        <w:jc w:val="both"/>
      </w:pPr>
      <w:r>
        <w:rPr>
          <w:rFonts w:ascii="Calibri" w:cs="Calibri" w:eastAsia="Calibri" w:hAnsi="Calibri"/>
          <w:color w:val="000000"/>
          <w:sz w:val="22"/>
          <w:szCs w:val="22"/>
        </w:rPr>
        <w:t xml:space="preserve">The Scaled Dot-Product Attention is defined as: Attention(Q, K, V) = softmax(QKᵀ / √dk) V, where Q (queries), K (keys), and V (values) are linear projections of the input sequence, and dk is the dimensionality of the key vectors. Multi-head attention extends this by learning h different attention heads in parallel, each projecting the input into a different subspace.</w:t>
      </w:r>
    </w:p>
    <w:p>
      <w:pPr>
        <w:spacing w:after="80" w:before="80"/>
        <w:jc w:val="both"/>
      </w:pPr>
      <w:r>
        <w:rPr>
          <w:rFonts w:ascii="Calibri" w:cs="Calibri" w:eastAsia="Calibri" w:hAnsi="Calibri"/>
          <w:color w:val="000000"/>
          <w:sz w:val="22"/>
          <w:szCs w:val="22"/>
        </w:rPr>
        <w:t xml:space="preserve">In this project, the Transformer Encoder (without a decoder) is used for sequence-to-one regression. Input features are first projected to a model dimension d = 64 via a linear layer, then combined with sinusoidal positional encodings to inject sequential order information. The encoder comprises 2 layers with 4 attention heads and a feedforward dimension of 128. The final prediction is taken from the last position's representation passed through a linear head.</w:t>
      </w:r>
    </w:p>
    <w:p>
      <w:pPr>
        <w:pStyle w:val="Heading2"/>
      </w:pPr>
      <w:r>
        <w:rPr>
          <w:rFonts w:ascii="Calibri" w:cs="Calibri" w:eastAsia="Calibri" w:hAnsi="Calibri"/>
          <w:b/>
          <w:bCs/>
          <w:color w:val="2E75B6"/>
          <w:sz w:val="28"/>
          <w:szCs w:val="28"/>
        </w:rPr>
        <w:t xml:space="preserve">3.4 Elastic Weight Consolidation (EWC)</w:t>
      </w:r>
    </w:p>
    <w:p>
      <w:pPr>
        <w:spacing w:after="80" w:before="80"/>
        <w:jc w:val="both"/>
      </w:pPr>
      <w:r>
        <w:rPr>
          <w:rFonts w:ascii="Calibri" w:cs="Calibri" w:eastAsia="Calibri" w:hAnsi="Calibri"/>
          <w:color w:val="000000"/>
          <w:sz w:val="22"/>
          <w:szCs w:val="22"/>
        </w:rPr>
        <w:t xml:space="preserve">Elastic Weight Consolidation is a continual learning technique introduced by Kirkpatrick et al. (2017) to address catastrophic forgetting — the tendency of neural networks to abruptly lose previously learned information when fine-tuned on new data. EWC draws an analogy to Bayesian learning by approximating the posterior distribution over parameters using the Fisher Information Matrix (FIM).</w:t>
      </w:r>
    </w:p>
    <w:p>
      <w:pPr>
        <w:spacing w:after="80" w:before="80"/>
        <w:jc w:val="both"/>
      </w:pPr>
      <w:r>
        <w:rPr>
          <w:rFonts w:ascii="Calibri" w:cs="Calibri" w:eastAsia="Calibri" w:hAnsi="Calibri"/>
          <w:color w:val="000000"/>
          <w:sz w:val="22"/>
          <w:szCs w:val="22"/>
        </w:rPr>
        <w:t xml:space="preserve">After training on an initial task, EWC computes the FIM F — the expected squared gradient of the loss with respect to each parameter. Parameters with high Fisher information are considered 'important' for the previous task. When training on a new task, an additional quadratic penalty is added to the loss:</w:t>
      </w:r>
    </w:p>
    <w:p>
      <w:pPr>
        <w:spacing w:after="80" w:before="80"/>
        <w:jc w:val="both"/>
      </w:pPr>
      <w:r>
        <w:rPr>
          <w:rFonts w:ascii="Calibri" w:cs="Calibri" w:eastAsia="Calibri" w:hAnsi="Calibri"/>
          <w:i/>
          <w:iCs/>
          <w:color w:val="595959"/>
          <w:sz w:val="22"/>
          <w:szCs w:val="22"/>
        </w:rPr>
        <w:t xml:space="preserve">L_EWC(θ) = L_new(θ) + (λ/2) · Σi Fi · (θi - θ*i)²</w:t>
      </w:r>
    </w:p>
    <w:p>
      <w:pPr>
        <w:spacing w:after="80" w:before="80"/>
        <w:jc w:val="both"/>
      </w:pPr>
      <w:r>
        <w:rPr>
          <w:rFonts w:ascii="Calibri" w:cs="Calibri" w:eastAsia="Calibri" w:hAnsi="Calibri"/>
          <w:color w:val="000000"/>
          <w:sz w:val="22"/>
          <w:szCs w:val="22"/>
        </w:rPr>
        <w:t xml:space="preserve">where θ*i are the parameter values after the previous task, Fi is the Fisher information for parameter i, and λ controls the regularisation strength (EWC_LAMBDA = 400 in this project). This constrains updates to parameters that are less critical for previously learned tasks, enabling continual adaptation without forgetting (Kirkpatrick et al., 2017).</w:t>
      </w:r>
    </w:p>
    <w:p>
      <w:pPr>
        <w:spacing w:after="80" w:before="80"/>
        <w:jc w:val="both"/>
      </w:pPr>
      <w:r>
        <w:rPr>
          <w:rFonts w:ascii="Calibri" w:cs="Calibri" w:eastAsia="Calibri" w:hAnsi="Calibri"/>
          <w:color w:val="000000"/>
          <w:sz w:val="22"/>
          <w:szCs w:val="22"/>
        </w:rPr>
        <w:t xml:space="preserve">The IL-ETransformer's two-phase training procedure directly operationalises this principle: Phase 1 trains on the full training set and computes the FIM; Phase 2 fine-tunes on the validation set (representing a new market regime) with the EWC penalty, inspired by the TSEWC framework proposed by He et al. (2025) in PLOS ONE.</w:t>
      </w:r>
    </w:p>
    <w:p>
      <w:pPr>
        <w:pStyle w:val="Heading1"/>
      </w:pPr>
      <w:r>
        <w:rPr>
          <w:rFonts w:ascii="Calibri" w:cs="Calibri" w:eastAsia="Calibri" w:hAnsi="Calibri"/>
          <w:b/>
          <w:bCs/>
          <w:color w:val="1F3864"/>
          <w:sz w:val="36"/>
          <w:szCs w:val="36"/>
        </w:rPr>
        <w:t xml:space="preserve">4. Deep Learning Design and Evaluation</w:t>
      </w:r>
    </w:p>
    <w:p>
      <w:pPr>
        <w:pStyle w:val="Heading2"/>
      </w:pPr>
      <w:r>
        <w:rPr>
          <w:rFonts w:ascii="Calibri" w:cs="Calibri" w:eastAsia="Calibri" w:hAnsi="Calibri"/>
          <w:b/>
          <w:bCs/>
          <w:color w:val="2E75B6"/>
          <w:sz w:val="28"/>
          <w:szCs w:val="28"/>
        </w:rPr>
        <w:t xml:space="preserve">4.1 Shared Hyperparameters and Training Strategy</w:t>
      </w:r>
    </w:p>
    <w:p>
      <w:pPr>
        <w:spacing w:after="80" w:before="80"/>
        <w:jc w:val="both"/>
      </w:pPr>
      <w:r>
        <w:rPr>
          <w:rFonts w:ascii="Calibri" w:cs="Calibri" w:eastAsia="Calibri" w:hAnsi="Calibri"/>
          <w:color w:val="000000"/>
          <w:sz w:val="22"/>
          <w:szCs w:val="22"/>
        </w:rPr>
        <w:t xml:space="preserve">All three models share a common set of hyperparameters to ensure comparability: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Hyperparameter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5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Justification</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Lookback window</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60 days</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Covers ~3 trading months; balances context and memory</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Hidden size (LSTM)</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128 units</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Sufficient capacity without excessive overfitting risk</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LSTM layers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Captures hierarchical temporal patterns</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Dropout rate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0.2</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Regularisation to reduce overfitting (Srivastava et al., 2014)</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Batch size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64</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Stable gradient estimates for sequential data</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Epochs</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50</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Sufficient convergence with early stopping via best-val checkpoint</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Learning rate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1e-3</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Standard Adam default; scheduler halves it on plateau</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Weight decay</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1e-5</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L2 regularisation to penalise large weights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Loss function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MSE</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Standard for regression; penalises large errors heavily</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Optimiser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Adam</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Adaptive gradient method; widely used for RNNs/Transformers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LR scheduler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ReduceLROnPlateau (patience=5, factor=0.5)</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Prevents premature convergence</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Gradient clipping</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max norm = 1.0</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Prevents exploding gradients in recurrent networks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EWC lambda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400</w:t>
            </w:r>
          </w:p>
        </w:tc>
        <w:tc>
          <w:tcPr>
            <w:tcW w:type="dxa" w:w="3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Strong consolidation; preserves prior task knowledge effectively</w:t>
            </w:r>
          </w:p>
        </w:tc>
      </w:tr>
      <w:tr>
        <w:tc>
          <w:tcPr>
            <w:tcW w:type="dxa" w:w="3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Online window</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20 steps</w:t>
            </w:r>
          </w:p>
        </w:tc>
        <w:tc>
          <w:tcPr>
            <w:tcW w:type="dxa" w:w="35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Update every ~1 trading month</w:t>
            </w:r>
          </w:p>
        </w:tc>
      </w:tr>
    </w:tbl>
    <w:p>
      <w:pPr>
        <w:pStyle w:val="Heading2"/>
      </w:pPr>
      <w:r>
        <w:rPr>
          <w:rFonts w:ascii="Calibri" w:cs="Calibri" w:eastAsia="Calibri" w:hAnsi="Calibri"/>
          <w:b/>
          <w:bCs/>
          <w:color w:val="2E75B6"/>
          <w:sz w:val="28"/>
          <w:szCs w:val="28"/>
        </w:rPr>
        <w:t xml:space="preserve">4.2 Model 1: Vanilla LSTM — Offline Baseline</w:t>
      </w:r>
    </w:p>
    <w:p>
      <w:pPr>
        <w:pStyle w:val="Heading3"/>
      </w:pPr>
      <w:r>
        <w:rPr>
          <w:rFonts w:ascii="Calibri" w:cs="Calibri" w:eastAsia="Calibri" w:hAnsi="Calibri"/>
          <w:b/>
          <w:bCs/>
          <w:color w:val="595959"/>
          <w:sz w:val="24"/>
          <w:szCs w:val="24"/>
        </w:rPr>
        <w:t xml:space="preserve">Architecture</w:t>
      </w:r>
    </w:p>
    <w:p>
      <w:pPr>
        <w:spacing w:after="80" w:before="80"/>
        <w:jc w:val="both"/>
      </w:pPr>
      <w:r>
        <w:rPr>
          <w:rFonts w:ascii="Calibri" w:cs="Calibri" w:eastAsia="Calibri" w:hAnsi="Calibri"/>
          <w:color w:val="000000"/>
          <w:sz w:val="22"/>
          <w:szCs w:val="22"/>
        </w:rPr>
        <w:t xml:space="preserve">Model 1 is a two-layer stacked LSTM with 128 hidden units per layer, dropout = 0.2, and a single linear output head mapping from the final hidden state to a scalar prediction. The total parameter count is approximately 263,169. The architecture is defined in PyTorch as follows: an nn.LSTM module with batch_first=True feeding into nn.Linear(128, 1). The model's final prediction is taken from the last time step's hidden state (out[:, -1, :]).</w:t>
      </w:r>
    </w:p>
    <w:p>
      <w:pPr>
        <w:pStyle w:val="Heading3"/>
      </w:pPr>
      <w:r>
        <w:rPr>
          <w:rFonts w:ascii="Calibri" w:cs="Calibri" w:eastAsia="Calibri" w:hAnsi="Calibri"/>
          <w:b/>
          <w:bCs/>
          <w:color w:val="595959"/>
          <w:sz w:val="24"/>
          <w:szCs w:val="24"/>
        </w:rPr>
        <w:t xml:space="preserve">Training Procedure</w:t>
      </w:r>
    </w:p>
    <w:p>
      <w:pPr>
        <w:spacing w:after="80" w:before="80"/>
        <w:jc w:val="both"/>
      </w:pPr>
      <w:r>
        <w:rPr>
          <w:rFonts w:ascii="Calibri" w:cs="Calibri" w:eastAsia="Calibri" w:hAnsi="Calibri"/>
          <w:color w:val="000000"/>
          <w:sz w:val="22"/>
          <w:szCs w:val="22"/>
        </w:rPr>
        <w:t xml:space="preserve">The model is trained for 50 epochs on the training DataLoader (batch size 64, no shuffling). Adam optimiser with weight decay 1e-5 and an initial learning rate of 1e-3 is used. A ReduceLROnPlateau scheduler monitors the validation loss, halving the learning rate when no improvement is seen for 5 consecutive epochs. Gradient norms are clipped at 1.0 to prevent exploding gradients. The best model checkpoint (lowest validation MSE) is saved and restored before evaluation.</w:t>
      </w:r>
    </w:p>
    <w:p>
      <w:pPr>
        <w:pStyle w:val="Heading3"/>
      </w:pPr>
      <w:r>
        <w:rPr>
          <w:rFonts w:ascii="Calibri" w:cs="Calibri" w:eastAsia="Calibri" w:hAnsi="Calibri"/>
          <w:b/>
          <w:bCs/>
          <w:color w:val="595959"/>
          <w:sz w:val="24"/>
          <w:szCs w:val="24"/>
        </w:rPr>
        <w:t xml:space="preserve">Strengths and Weaknesses</w:t>
      </w:r>
    </w:p>
    <w:p>
      <w:pPr>
        <w:pStyle w:val="ListParagraph"/>
        <w:numPr>
          <w:ilvl w:val="0"/>
          <w:numId w:val="2"/>
        </w:numPr>
        <w:spacing w:after="40" w:before="40"/>
      </w:pPr>
      <w:r>
        <w:rPr>
          <w:rFonts w:ascii="Calibri" w:cs="Calibri" w:eastAsia="Calibri" w:hAnsi="Calibri"/>
          <w:color w:val="000000"/>
          <w:sz w:val="22"/>
          <w:szCs w:val="22"/>
        </w:rPr>
        <w:t xml:space="preserve">Strength: Stable training; well-understood convergence behaviour</w:t>
      </w:r>
    </w:p>
    <w:p>
      <w:pPr>
        <w:pStyle w:val="ListParagraph"/>
        <w:numPr>
          <w:ilvl w:val="0"/>
          <w:numId w:val="2"/>
        </w:numPr>
        <w:spacing w:after="40" w:before="40"/>
      </w:pPr>
      <w:r>
        <w:rPr>
          <w:rFonts w:ascii="Calibri" w:cs="Calibri" w:eastAsia="Calibri" w:hAnsi="Calibri"/>
          <w:color w:val="000000"/>
          <w:sz w:val="22"/>
          <w:szCs w:val="22"/>
        </w:rPr>
        <w:t xml:space="preserve">Strength: Effective for capturing stable, slowly-changing trends</w:t>
      </w:r>
    </w:p>
    <w:p>
      <w:pPr>
        <w:pStyle w:val="ListParagraph"/>
        <w:numPr>
          <w:ilvl w:val="0"/>
          <w:numId w:val="2"/>
        </w:numPr>
        <w:spacing w:after="40" w:before="40"/>
      </w:pPr>
      <w:r>
        <w:rPr>
          <w:rFonts w:ascii="Calibri" w:cs="Calibri" w:eastAsia="Calibri" w:hAnsi="Calibri"/>
          <w:color w:val="000000"/>
          <w:sz w:val="22"/>
          <w:szCs w:val="22"/>
        </w:rPr>
        <w:t xml:space="preserve">Weakness: Static after training — cannot adapt to concept drift</w:t>
      </w:r>
    </w:p>
    <w:p>
      <w:pPr>
        <w:pStyle w:val="ListParagraph"/>
        <w:numPr>
          <w:ilvl w:val="0"/>
          <w:numId w:val="2"/>
        </w:numPr>
        <w:spacing w:after="40" w:before="40"/>
      </w:pPr>
      <w:r>
        <w:rPr>
          <w:rFonts w:ascii="Calibri" w:cs="Calibri" w:eastAsia="Calibri" w:hAnsi="Calibri"/>
          <w:color w:val="000000"/>
          <w:sz w:val="22"/>
          <w:szCs w:val="22"/>
        </w:rPr>
        <w:t xml:space="preserve">Weakness: May underfit or produce lagged predictions in volatile periods</w:t>
      </w:r>
    </w:p>
    <w:p>
      <w:pPr>
        <w:pStyle w:val="ListParagraph"/>
        <w:numPr>
          <w:ilvl w:val="0"/>
          <w:numId w:val="2"/>
        </w:numPr>
        <w:spacing w:after="40" w:before="40"/>
      </w:pPr>
      <w:r>
        <w:rPr>
          <w:rFonts w:ascii="Calibri" w:cs="Calibri" w:eastAsia="Calibri" w:hAnsi="Calibri"/>
          <w:color w:val="000000"/>
          <w:sz w:val="22"/>
          <w:szCs w:val="22"/>
        </w:rPr>
        <w:t xml:space="preserve">Weakness: No mechanism to incorporate new information during deployment</w:t>
      </w:r>
    </w:p>
    <w:p>
      <w:pPr>
        <w:pStyle w:val="Heading2"/>
      </w:pPr>
      <w:r>
        <w:rPr>
          <w:rFonts w:ascii="Calibri" w:cs="Calibri" w:eastAsia="Calibri" w:hAnsi="Calibri"/>
          <w:b/>
          <w:bCs/>
          <w:color w:val="2E75B6"/>
          <w:sz w:val="28"/>
          <w:szCs w:val="28"/>
        </w:rPr>
        <w:t xml:space="preserve">4.3 Model 2: Online LSTM — Streaming Incremental Updates</w:t>
      </w:r>
    </w:p>
    <w:p>
      <w:pPr>
        <w:pStyle w:val="Heading3"/>
      </w:pPr>
      <w:r>
        <w:rPr>
          <w:rFonts w:ascii="Calibri" w:cs="Calibri" w:eastAsia="Calibri" w:hAnsi="Calibri"/>
          <w:b/>
          <w:bCs/>
          <w:color w:val="595959"/>
          <w:sz w:val="24"/>
          <w:szCs w:val="24"/>
        </w:rPr>
        <w:t xml:space="preserve">Architecture</w:t>
      </w:r>
    </w:p>
    <w:p>
      <w:pPr>
        <w:spacing w:after="80" w:before="80"/>
        <w:jc w:val="both"/>
      </w:pPr>
      <w:r>
        <w:rPr>
          <w:rFonts w:ascii="Calibri" w:cs="Calibri" w:eastAsia="Calibri" w:hAnsi="Calibri"/>
          <w:color w:val="000000"/>
          <w:sz w:val="22"/>
          <w:szCs w:val="22"/>
        </w:rPr>
        <w:t xml:space="preserve">The Online LSTM shares an identical architecture with Model 1 (2-layer LSTM, 128 hidden units, dropout = 0.2). What differentiates it is the deployment-phase update mechanism implemented in the online_predict function. After making a prediction at each test step, every 20 steps a gradient update is performed over the most recent 20-step window at a reduced learning rate of 1e-4. The model is kept in train() mode during the streaming phase to enable gradient computation.</w:t>
      </w:r>
    </w:p>
    <w:p>
      <w:pPr>
        <w:pStyle w:val="Heading3"/>
      </w:pPr>
      <w:r>
        <w:rPr>
          <w:rFonts w:ascii="Calibri" w:cs="Calibri" w:eastAsia="Calibri" w:hAnsi="Calibri"/>
          <w:b/>
          <w:bCs/>
          <w:color w:val="595959"/>
          <w:sz w:val="24"/>
          <w:szCs w:val="24"/>
        </w:rPr>
        <w:t xml:space="preserve">Streaming Update Logic</w:t>
      </w:r>
    </w:p>
    <w:p>
      <w:pPr>
        <w:spacing w:after="80" w:before="80"/>
        <w:jc w:val="both"/>
      </w:pPr>
      <w:r>
        <w:rPr>
          <w:rFonts w:ascii="Calibri" w:cs="Calibri" w:eastAsia="Calibri" w:hAnsi="Calibri"/>
          <w:color w:val="000000"/>
          <w:sz w:val="22"/>
          <w:szCs w:val="22"/>
        </w:rPr>
        <w:t xml:space="preserve">The update loop iterates through each test step: (1) generate prediction without gradient tracking; (2) if step is a multiple of ONLINE_WINDOW, extract the recent window, compute MSE loss, and execute a gradient step. This approach simulates a production system receiving streaming market data and continuously fine-tuning the model to reduce accumulated drift error.</w:t>
      </w:r>
    </w:p>
    <w:p>
      <w:pPr>
        <w:pStyle w:val="Heading3"/>
      </w:pPr>
      <w:r>
        <w:rPr>
          <w:rFonts w:ascii="Calibri" w:cs="Calibri" w:eastAsia="Calibri" w:hAnsi="Calibri"/>
          <w:b/>
          <w:bCs/>
          <w:color w:val="595959"/>
          <w:sz w:val="24"/>
          <w:szCs w:val="24"/>
        </w:rPr>
        <w:t xml:space="preserve">Strengths and Weaknesses</w:t>
      </w:r>
    </w:p>
    <w:p>
      <w:pPr>
        <w:pStyle w:val="ListParagraph"/>
        <w:numPr>
          <w:ilvl w:val="0"/>
          <w:numId w:val="2"/>
        </w:numPr>
        <w:spacing w:after="40" w:before="40"/>
      </w:pPr>
      <w:r>
        <w:rPr>
          <w:rFonts w:ascii="Calibri" w:cs="Calibri" w:eastAsia="Calibri" w:hAnsi="Calibri"/>
          <w:color w:val="000000"/>
          <w:sz w:val="22"/>
          <w:szCs w:val="22"/>
        </w:rPr>
        <w:t xml:space="preserve">Strength: Adapts dynamically to regime changes without full retraining</w:t>
      </w:r>
    </w:p>
    <w:p>
      <w:pPr>
        <w:pStyle w:val="ListParagraph"/>
        <w:numPr>
          <w:ilvl w:val="0"/>
          <w:numId w:val="2"/>
        </w:numPr>
        <w:spacing w:after="40" w:before="40"/>
      </w:pPr>
      <w:r>
        <w:rPr>
          <w:rFonts w:ascii="Calibri" w:cs="Calibri" w:eastAsia="Calibri" w:hAnsi="Calibri"/>
          <w:color w:val="000000"/>
          <w:sz w:val="22"/>
          <w:szCs w:val="22"/>
        </w:rPr>
        <w:t xml:space="preserve">Strength: Low computational overhead per update step</w:t>
      </w:r>
    </w:p>
    <w:p>
      <w:pPr>
        <w:pStyle w:val="ListParagraph"/>
        <w:numPr>
          <w:ilvl w:val="0"/>
          <w:numId w:val="2"/>
        </w:numPr>
        <w:spacing w:after="40" w:before="40"/>
      </w:pPr>
      <w:r>
        <w:rPr>
          <w:rFonts w:ascii="Calibri" w:cs="Calibri" w:eastAsia="Calibri" w:hAnsi="Calibri"/>
          <w:color w:val="000000"/>
          <w:sz w:val="22"/>
          <w:szCs w:val="22"/>
        </w:rPr>
        <w:t xml:space="preserve">Weakness: Risk of overfitting to recent noise if window is too small</w:t>
      </w:r>
    </w:p>
    <w:p>
      <w:pPr>
        <w:pStyle w:val="ListParagraph"/>
        <w:numPr>
          <w:ilvl w:val="0"/>
          <w:numId w:val="2"/>
        </w:numPr>
        <w:spacing w:after="40" w:before="40"/>
      </w:pPr>
      <w:r>
        <w:rPr>
          <w:rFonts w:ascii="Calibri" w:cs="Calibri" w:eastAsia="Calibri" w:hAnsi="Calibri"/>
          <w:color w:val="000000"/>
          <w:sz w:val="22"/>
          <w:szCs w:val="22"/>
        </w:rPr>
        <w:t xml:space="preserve">Weakness: Potential for gradual forgetting of older patterns</w:t>
      </w:r>
    </w:p>
    <w:p>
      <w:pPr>
        <w:pStyle w:val="ListParagraph"/>
        <w:numPr>
          <w:ilvl w:val="0"/>
          <w:numId w:val="2"/>
        </w:numPr>
        <w:spacing w:after="40" w:before="40"/>
      </w:pPr>
      <w:r>
        <w:rPr>
          <w:rFonts w:ascii="Calibri" w:cs="Calibri" w:eastAsia="Calibri" w:hAnsi="Calibri"/>
          <w:color w:val="000000"/>
          <w:sz w:val="22"/>
          <w:szCs w:val="22"/>
        </w:rPr>
        <w:t xml:space="preserve">Weakness: Update frequency (window=20) is a manually tuned hyperparameter</w:t>
      </w:r>
    </w:p>
    <w:p>
      <w:pPr>
        <w:pStyle w:val="Heading2"/>
      </w:pPr>
      <w:r>
        <w:rPr>
          <w:rFonts w:ascii="Calibri" w:cs="Calibri" w:eastAsia="Calibri" w:hAnsi="Calibri"/>
          <w:b/>
          <w:bCs/>
          <w:color w:val="2E75B6"/>
          <w:sz w:val="28"/>
          <w:szCs w:val="28"/>
        </w:rPr>
        <w:t xml:space="preserve">4.4 Model 3: IL-ETransformer — Continual Learning with EWC</w:t>
      </w:r>
    </w:p>
    <w:p>
      <w:pPr>
        <w:pStyle w:val="Heading3"/>
      </w:pPr>
      <w:r>
        <w:rPr>
          <w:rFonts w:ascii="Calibri" w:cs="Calibri" w:eastAsia="Calibri" w:hAnsi="Calibri"/>
          <w:b/>
          <w:bCs/>
          <w:color w:val="595959"/>
          <w:sz w:val="24"/>
          <w:szCs w:val="24"/>
        </w:rPr>
        <w:t xml:space="preserve">Architecture</w:t>
      </w:r>
    </w:p>
    <w:p>
      <w:pPr>
        <w:spacing w:after="80" w:before="80"/>
        <w:jc w:val="both"/>
      </w:pPr>
      <w:r>
        <w:rPr>
          <w:rFonts w:ascii="Calibri" w:cs="Calibri" w:eastAsia="Calibri" w:hAnsi="Calibri"/>
          <w:color w:val="000000"/>
          <w:sz w:val="22"/>
          <w:szCs w:val="22"/>
        </w:rPr>
        <w:t xml:space="preserve">Model 3 combines a Transformer Encoder with Elastic Weight Consolidation. The input (11 features) is projected to model dimension d = 64 via a learnable linear layer (nn.Linear(11, 64)). Sinusoidal positional encodings are added to preserve sequential order. A 2-layer Transformer Encoder (4 attention heads, feedforward dimension 128, dropout = 0.1) processes the sequence. The final output is taken from the representation at the last time step and passed through a linear regression head.</w:t>
      </w:r>
    </w:p>
    <w:p>
      <w:pPr>
        <w:spacing w:after="80" w:before="80"/>
        <w:jc w:val="both"/>
      </w:pPr>
      <w:r>
        <w:rPr>
          <w:rFonts w:ascii="Calibri" w:cs="Calibri" w:eastAsia="Calibri" w:hAnsi="Calibri"/>
          <w:color w:val="000000"/>
          <w:sz w:val="22"/>
          <w:szCs w:val="22"/>
        </w:rPr>
        <w:t xml:space="preserve">EWC capability is embedded directly into the ILETransformer class. The compute_fisher method iterates through 50 batches of the training DataLoader, computes squared gradients for each parameter, and averages them to produce the FIM approximation. The ewc_loss method computes the quadratic penalty term during training.</w:t>
      </w:r>
    </w:p>
    <w:p>
      <w:pPr>
        <w:pStyle w:val="Heading3"/>
      </w:pPr>
      <w:r>
        <w:rPr>
          <w:rFonts w:ascii="Calibri" w:cs="Calibri" w:eastAsia="Calibri" w:hAnsi="Calibri"/>
          <w:b/>
          <w:bCs/>
          <w:color w:val="595959"/>
          <w:sz w:val="24"/>
          <w:szCs w:val="24"/>
        </w:rPr>
        <w:t xml:space="preserve">Two-Phase Training</w:t>
      </w:r>
    </w:p>
    <w:p>
      <w:pPr>
        <w:spacing w:after="80" w:before="80"/>
        <w:jc w:val="both"/>
      </w:pPr>
      <w:r>
        <w:rPr>
          <w:rFonts w:ascii="Calibri" w:cs="Calibri" w:eastAsia="Calibri" w:hAnsi="Calibri"/>
          <w:b/>
          <w:bCs/>
          <w:color w:val="000000"/>
          <w:sz w:val="22"/>
          <w:szCs w:val="22"/>
        </w:rPr>
        <w:t xml:space="preserve">Phase 1</w:t>
      </w:r>
      <w:r>
        <w:rPr>
          <w:rFonts w:ascii="Calibri" w:cs="Calibri" w:eastAsia="Calibri" w:hAnsi="Calibri"/>
          <w:color w:val="000000"/>
          <w:sz w:val="22"/>
          <w:szCs w:val="22"/>
        </w:rPr>
        <w:t xml:space="preserve"> — The model is trained on the full training set for 50 epochs using the combined loss L = MSE + EWC penalty. At this stage the EWC penalty is zero (Fisher information not yet computed), so Phase 1 is equivalent to standard Transformer training.</w:t>
      </w:r>
    </w:p>
    <w:p>
      <w:pPr>
        <w:spacing w:after="80" w:before="80"/>
        <w:jc w:val="both"/>
      </w:pPr>
      <w:r>
        <w:rPr>
          <w:rFonts w:ascii="Calibri" w:cs="Calibri" w:eastAsia="Calibri" w:hAnsi="Calibri"/>
          <w:b/>
          <w:bCs/>
          <w:color w:val="000000"/>
          <w:sz w:val="22"/>
          <w:szCs w:val="22"/>
        </w:rPr>
        <w:t xml:space="preserve">Fisher computation</w:t>
      </w:r>
      <w:r>
        <w:rPr>
          <w:rFonts w:ascii="Calibri" w:cs="Calibri" w:eastAsia="Calibri" w:hAnsi="Calibri"/>
          <w:color w:val="000000"/>
          <w:sz w:val="22"/>
          <w:szCs w:val="22"/>
        </w:rPr>
        <w:t xml:space="preserve"> — After Phase 1, compute_fisher is called on the training DataLoader. This populates self._f (Fisher information) and self._p (parameter checkpoints) for all learnable parameters.</w:t>
      </w:r>
    </w:p>
    <w:p>
      <w:pPr>
        <w:spacing w:after="80" w:before="80"/>
        <w:jc w:val="both"/>
      </w:pPr>
      <w:r>
        <w:rPr>
          <w:rFonts w:ascii="Calibri" w:cs="Calibri" w:eastAsia="Calibri" w:hAnsi="Calibri"/>
          <w:b/>
          <w:bCs/>
          <w:color w:val="000000"/>
          <w:sz w:val="22"/>
          <w:szCs w:val="22"/>
        </w:rPr>
        <w:t xml:space="preserve">Phase 2</w:t>
      </w:r>
      <w:r>
        <w:rPr>
          <w:rFonts w:ascii="Calibri" w:cs="Calibri" w:eastAsia="Calibri" w:hAnsi="Calibri"/>
          <w:color w:val="000000"/>
          <w:sz w:val="22"/>
          <w:szCs w:val="22"/>
        </w:rPr>
        <w:t xml:space="preserve"> — The model is fine-tuned on the validation set (representing a new market regime) for 10 epochs at lr = 1e-4, with the full EWC penalty active. The penalty anchors weights that were important for the training-set task, preventing catastrophic forgetting while allowing adaptation to the new regime.</w:t>
      </w:r>
    </w:p>
    <w:p>
      <w:pPr>
        <w:pStyle w:val="Heading3"/>
      </w:pPr>
      <w:r>
        <w:rPr>
          <w:rFonts w:ascii="Calibri" w:cs="Calibri" w:eastAsia="Calibri" w:hAnsi="Calibri"/>
          <w:b/>
          <w:bCs/>
          <w:color w:val="595959"/>
          <w:sz w:val="24"/>
          <w:szCs w:val="24"/>
        </w:rPr>
        <w:t xml:space="preserve">Strengths and Weaknesses</w:t>
      </w:r>
    </w:p>
    <w:p>
      <w:pPr>
        <w:pStyle w:val="ListParagraph"/>
        <w:numPr>
          <w:ilvl w:val="0"/>
          <w:numId w:val="2"/>
        </w:numPr>
        <w:spacing w:after="40" w:before="40"/>
      </w:pPr>
      <w:r>
        <w:rPr>
          <w:rFonts w:ascii="Calibri" w:cs="Calibri" w:eastAsia="Calibri" w:hAnsi="Calibri"/>
          <w:color w:val="000000"/>
          <w:sz w:val="22"/>
          <w:szCs w:val="22"/>
        </w:rPr>
        <w:t xml:space="preserve">Strength: Self-attention captures long-range temporal dependencies more flexibly than LSTM</w:t>
      </w:r>
    </w:p>
    <w:p>
      <w:pPr>
        <w:pStyle w:val="ListParagraph"/>
        <w:numPr>
          <w:ilvl w:val="0"/>
          <w:numId w:val="2"/>
        </w:numPr>
        <w:spacing w:after="40" w:before="40"/>
      </w:pPr>
      <w:r>
        <w:rPr>
          <w:rFonts w:ascii="Calibri" w:cs="Calibri" w:eastAsia="Calibri" w:hAnsi="Calibri"/>
          <w:color w:val="000000"/>
          <w:sz w:val="22"/>
          <w:szCs w:val="22"/>
        </w:rPr>
        <w:t xml:space="preserve">Strength: EWC prevents catastrophic forgetting during incremental updates</w:t>
      </w:r>
    </w:p>
    <w:p>
      <w:pPr>
        <w:pStyle w:val="ListParagraph"/>
        <w:numPr>
          <w:ilvl w:val="0"/>
          <w:numId w:val="2"/>
        </w:numPr>
        <w:spacing w:after="40" w:before="40"/>
      </w:pPr>
      <w:r>
        <w:rPr>
          <w:rFonts w:ascii="Calibri" w:cs="Calibri" w:eastAsia="Calibri" w:hAnsi="Calibri"/>
          <w:color w:val="000000"/>
          <w:sz w:val="22"/>
          <w:szCs w:val="22"/>
        </w:rPr>
        <w:t xml:space="preserve">Strength: Theoretically grounded in Bayesian continual learning (Kirkpatrick et al., 2017)</w:t>
      </w:r>
    </w:p>
    <w:p>
      <w:pPr>
        <w:pStyle w:val="ListParagraph"/>
        <w:numPr>
          <w:ilvl w:val="0"/>
          <w:numId w:val="2"/>
        </w:numPr>
        <w:spacing w:after="40" w:before="40"/>
      </w:pPr>
      <w:r>
        <w:rPr>
          <w:rFonts w:ascii="Calibri" w:cs="Calibri" w:eastAsia="Calibri" w:hAnsi="Calibri"/>
          <w:color w:val="000000"/>
          <w:sz w:val="22"/>
          <w:szCs w:val="22"/>
        </w:rPr>
        <w:t xml:space="preserve">Weakness: Higher parameter count and training complexity versus LSTM</w:t>
      </w:r>
    </w:p>
    <w:p>
      <w:pPr>
        <w:pStyle w:val="ListParagraph"/>
        <w:numPr>
          <w:ilvl w:val="0"/>
          <w:numId w:val="2"/>
        </w:numPr>
        <w:spacing w:after="40" w:before="40"/>
      </w:pPr>
      <w:r>
        <w:rPr>
          <w:rFonts w:ascii="Calibri" w:cs="Calibri" w:eastAsia="Calibri" w:hAnsi="Calibri"/>
          <w:color w:val="000000"/>
          <w:sz w:val="22"/>
          <w:szCs w:val="22"/>
        </w:rPr>
        <w:t xml:space="preserve">Weakness: EWC lambda is a sensitive hyperparameter requiring careful tuning</w:t>
      </w:r>
    </w:p>
    <w:p>
      <w:pPr>
        <w:pStyle w:val="ListParagraph"/>
        <w:numPr>
          <w:ilvl w:val="0"/>
          <w:numId w:val="2"/>
        </w:numPr>
        <w:spacing w:after="40" w:before="40"/>
      </w:pPr>
      <w:r>
        <w:rPr>
          <w:rFonts w:ascii="Calibri" w:cs="Calibri" w:eastAsia="Calibri" w:hAnsi="Calibri"/>
          <w:color w:val="000000"/>
          <w:sz w:val="22"/>
          <w:szCs w:val="22"/>
        </w:rPr>
        <w:t xml:space="preserve">Weakness: Fisher approximation via squared gradients may not accurately represent true curvature for non-convex objectives</w:t>
      </w:r>
    </w:p>
    <w:p>
      <w:pPr>
        <w:pStyle w:val="Heading1"/>
      </w:pPr>
      <w:r>
        <w:rPr>
          <w:rFonts w:ascii="Calibri" w:cs="Calibri" w:eastAsia="Calibri" w:hAnsi="Calibri"/>
          <w:b/>
          <w:bCs/>
          <w:color w:val="1F3864"/>
          <w:sz w:val="36"/>
          <w:szCs w:val="36"/>
        </w:rPr>
        <w:t xml:space="preserve">5. Results and Evaluation</w:t>
      </w:r>
    </w:p>
    <w:p>
      <w:pPr>
        <w:pStyle w:val="Heading2"/>
      </w:pPr>
      <w:r>
        <w:rPr>
          <w:rFonts w:ascii="Calibri" w:cs="Calibri" w:eastAsia="Calibri" w:hAnsi="Calibri"/>
          <w:b/>
          <w:bCs/>
          <w:color w:val="2E75B6"/>
          <w:sz w:val="28"/>
          <w:szCs w:val="28"/>
        </w:rPr>
        <w:t xml:space="preserve">5.1 Quantitative Performance Metrics</w:t>
      </w:r>
    </w:p>
    <w:p>
      <w:pPr>
        <w:spacing w:after="80" w:before="80"/>
        <w:jc w:val="both"/>
      </w:pPr>
      <w:r>
        <w:rPr>
          <w:rFonts w:ascii="Calibri" w:cs="Calibri" w:eastAsia="Calibri" w:hAnsi="Calibri"/>
          <w:color w:val="000000"/>
          <w:sz w:val="22"/>
          <w:szCs w:val="22"/>
        </w:rPr>
        <w:t xml:space="preserve">The table below presents indicative performance metrics for all three models on the held-out test set. Actual values will be populated from the Colab notebook output once executed. The directional accuracy (DA%) metric indicates the proportion of trading days where the model correctly predicted the direction of price 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26"/>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Model</w:t>
            </w:r>
          </w:p>
        </w:tc>
        <w:tc>
          <w:tcPr>
            <w:tcW w:type="dxa" w:w="1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RMSE ($)</w:t>
            </w:r>
          </w:p>
        </w:tc>
        <w:tc>
          <w:tcPr>
            <w:tcW w:type="dxa" w:w="1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MAE ($)</w:t>
            </w:r>
          </w:p>
        </w:tc>
        <w:tc>
          <w:tcPr>
            <w:tcW w:type="dxa" w:w="1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MSE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MAPE (%)</w:t>
            </w:r>
          </w:p>
        </w:tc>
        <w:tc>
          <w:tcPr>
            <w:tcW w:type="dxa" w:w="1226"/>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 (%)</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bCs/>
                <w:sz w:val="20"/>
                <w:szCs w:val="20"/>
              </w:rPr>
              <w:t xml:space="preserve">Vanilla LSTM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bCs/>
                <w:sz w:val="20"/>
                <w:szCs w:val="20"/>
              </w:rPr>
              <w:t xml:space="preserve">Online LSTM</w:t>
            </w:r>
          </w:p>
        </w:tc>
        <w:tc>
          <w:tcPr>
            <w:tcW w:type="dxa" w:w="1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EBF3FB"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bCs/>
                <w:sz w:val="20"/>
                <w:szCs w:val="20"/>
              </w:rPr>
              <w:t xml:space="preserve">IL-ETransformer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[see notebook]</w:t>
            </w:r>
          </w:p>
        </w:tc>
      </w:tr>
    </w:tbl>
    <w:p>
      <w:pPr>
        <w:spacing w:after="60" w:before="60"/>
      </w:pPr>
      <w:r>
        <w:t xml:space="preserve"/>
      </w:r>
    </w:p>
    <w:p>
      <w:pPr>
        <w:spacing w:after="80" w:before="80"/>
        <w:jc w:val="both"/>
      </w:pPr>
      <w:r>
        <w:rPr>
          <w:rFonts w:ascii="Calibri" w:cs="Calibri" w:eastAsia="Calibri" w:hAnsi="Calibri"/>
          <w:i/>
          <w:iCs/>
          <w:color w:val="595959"/>
          <w:sz w:val="22"/>
          <w:szCs w:val="22"/>
        </w:rPr>
        <w:t xml:space="preserve">Note: Run the CA02_Project1_Online_Stock_Forecasting.ipynb notebook on Google Colab (T4 GPU recommended) to obtain precise metric values for the table above. The notebook prints a CA02 Results summary at the end of execution.</w:t>
      </w:r>
    </w:p>
    <w:p>
      <w:pPr>
        <w:pStyle w:val="Heading2"/>
      </w:pPr>
      <w:r>
        <w:rPr>
          <w:rFonts w:ascii="Calibri" w:cs="Calibri" w:eastAsia="Calibri" w:hAnsi="Calibri"/>
          <w:b/>
          <w:bCs/>
          <w:color w:val="2E75B6"/>
          <w:sz w:val="28"/>
          <w:szCs w:val="28"/>
        </w:rPr>
        <w:t xml:space="preserve">5.2 Forecast vs Actual Analysis</w:t>
      </w:r>
    </w:p>
    <w:p>
      <w:pPr>
        <w:spacing w:after="80" w:before="80"/>
        <w:jc w:val="both"/>
      </w:pPr>
      <w:r>
        <w:rPr>
          <w:rFonts w:ascii="Calibri" w:cs="Calibri" w:eastAsia="Calibri" w:hAnsi="Calibri"/>
          <w:color w:val="000000"/>
          <w:sz w:val="22"/>
          <w:szCs w:val="22"/>
        </w:rPr>
        <w:t xml:space="preserve">The forecast plots generated by the notebook (saved as 03_forecast_comparison.png) display the three models' predictions against actual AAPL closing prices over the test period. Key observations expected from the visual analysis:</w:t>
      </w:r>
    </w:p>
    <w:p>
      <w:pPr>
        <w:pStyle w:val="ListParagraph"/>
        <w:numPr>
          <w:ilvl w:val="0"/>
          <w:numId w:val="2"/>
        </w:numPr>
        <w:spacing w:after="40" w:before="40"/>
      </w:pPr>
      <w:r>
        <w:rPr>
          <w:rFonts w:ascii="Calibri" w:cs="Calibri" w:eastAsia="Calibri" w:hAnsi="Calibri"/>
          <w:color w:val="000000"/>
          <w:sz w:val="22"/>
          <w:szCs w:val="22"/>
        </w:rPr>
        <w:t xml:space="preserve">Vanilla LSTM typically displays a lag effect, where predictions trail actual prices by one or more steps. This is a well-documented phenomenon in static LSTM forecasters applied to trending financial data (Fischer and Krauss, 2018).</w:t>
      </w:r>
    </w:p>
    <w:p>
      <w:pPr>
        <w:pStyle w:val="ListParagraph"/>
        <w:numPr>
          <w:ilvl w:val="0"/>
          <w:numId w:val="2"/>
        </w:numPr>
        <w:spacing w:after="40" w:before="40"/>
      </w:pPr>
      <w:r>
        <w:rPr>
          <w:rFonts w:ascii="Calibri" w:cs="Calibri" w:eastAsia="Calibri" w:hAnsi="Calibri"/>
          <w:color w:val="000000"/>
          <w:sz w:val="22"/>
          <w:szCs w:val="22"/>
        </w:rPr>
        <w:t xml:space="preserve">Online LSTM is expected to track the actual price more closely after each incremental update, particularly following sharp trend reversals (e.g., the 2022 correction or post-earnings gaps).</w:t>
      </w:r>
    </w:p>
    <w:p>
      <w:pPr>
        <w:pStyle w:val="ListParagraph"/>
        <w:numPr>
          <w:ilvl w:val="0"/>
          <w:numId w:val="2"/>
        </w:numPr>
        <w:spacing w:after="40" w:before="40"/>
      </w:pPr>
      <w:r>
        <w:rPr>
          <w:rFonts w:ascii="Calibri" w:cs="Calibri" w:eastAsia="Calibri" w:hAnsi="Calibri"/>
          <w:color w:val="000000"/>
          <w:sz w:val="22"/>
          <w:szCs w:val="22"/>
        </w:rPr>
        <w:t xml:space="preserve">IL-ETransformer should demonstrate the most stable predictions in volatile periods, as the EWC penalty prevents oscillating between regimes while the Phase 2 fine-tuning improves adaptation to the latest market conditions.</w:t>
      </w:r>
    </w:p>
    <w:p>
      <w:pPr>
        <w:pStyle w:val="Heading2"/>
      </w:pPr>
      <w:r>
        <w:rPr>
          <w:rFonts w:ascii="Calibri" w:cs="Calibri" w:eastAsia="Calibri" w:hAnsi="Calibri"/>
          <w:b/>
          <w:bCs/>
          <w:color w:val="2E75B6"/>
          <w:sz w:val="28"/>
          <w:szCs w:val="28"/>
        </w:rPr>
        <w:t xml:space="preserve">5.3 Learning Curves</w:t>
      </w:r>
    </w:p>
    <w:p>
      <w:pPr>
        <w:spacing w:after="80" w:before="80"/>
        <w:jc w:val="both"/>
      </w:pPr>
      <w:r>
        <w:rPr>
          <w:rFonts w:ascii="Calibri" w:cs="Calibri" w:eastAsia="Calibri" w:hAnsi="Calibri"/>
          <w:color w:val="000000"/>
          <w:sz w:val="22"/>
          <w:szCs w:val="22"/>
        </w:rPr>
        <w:t xml:space="preserve">Training and validation loss curves (saved as 02_learning_curves.png) are critical diagnostic tools:</w:t>
      </w:r>
    </w:p>
    <w:p>
      <w:pPr>
        <w:pStyle w:val="ListParagraph"/>
        <w:numPr>
          <w:ilvl w:val="0"/>
          <w:numId w:val="2"/>
        </w:numPr>
        <w:spacing w:after="40" w:before="40"/>
      </w:pPr>
      <w:r>
        <w:rPr>
          <w:rFonts w:ascii="Calibri" w:cs="Calibri" w:eastAsia="Calibri" w:hAnsi="Calibri"/>
          <w:color w:val="000000"/>
          <w:sz w:val="22"/>
          <w:szCs w:val="22"/>
        </w:rPr>
        <w:t xml:space="preserve">A widening gap between train and validation loss indicates overfitting. The dropout layers and weight decay regularisation are designed to mitigate this.</w:t>
      </w:r>
    </w:p>
    <w:p>
      <w:pPr>
        <w:pStyle w:val="ListParagraph"/>
        <w:numPr>
          <w:ilvl w:val="0"/>
          <w:numId w:val="2"/>
        </w:numPr>
        <w:spacing w:after="40" w:before="40"/>
      </w:pPr>
      <w:r>
        <w:rPr>
          <w:rFonts w:ascii="Calibri" w:cs="Calibri" w:eastAsia="Calibri" w:hAnsi="Calibri"/>
          <w:color w:val="000000"/>
          <w:sz w:val="22"/>
          <w:szCs w:val="22"/>
        </w:rPr>
        <w:t xml:space="preserve">A validation loss that plateaus early relative to training loss suggests the ReduceLROnPlateau scheduler is working effectively.</w:t>
      </w:r>
    </w:p>
    <w:p>
      <w:pPr>
        <w:pStyle w:val="ListParagraph"/>
        <w:numPr>
          <w:ilvl w:val="0"/>
          <w:numId w:val="2"/>
        </w:numPr>
        <w:spacing w:after="40" w:before="40"/>
      </w:pPr>
      <w:r>
        <w:rPr>
          <w:rFonts w:ascii="Calibri" w:cs="Calibri" w:eastAsia="Calibri" w:hAnsi="Calibri"/>
          <w:color w:val="000000"/>
          <w:sz w:val="22"/>
          <w:szCs w:val="22"/>
        </w:rPr>
        <w:t xml:space="preserve">Spikes in the Online LSTM's streaming update phase may appear in later epochs if the market undergoes a sharp transition within the update window.</w:t>
      </w:r>
    </w:p>
    <w:p>
      <w:pPr>
        <w:spacing w:after="80" w:before="80"/>
        <w:jc w:val="both"/>
      </w:pPr>
      <w:r>
        <w:rPr>
          <w:rFonts w:ascii="Calibri" w:cs="Calibri" w:eastAsia="Calibri" w:hAnsi="Calibri"/>
          <w:color w:val="000000"/>
          <w:sz w:val="22"/>
          <w:szCs w:val="22"/>
        </w:rPr>
        <w:t xml:space="preserve">The IL-ETransformer is expected to show a higher initial training loss during Phase 2 due to the EWC penalty constraining parameter updates, followed by a rapid convergence as the model adapts to the new regime without forgetting Phase 1 knowledge.</w:t>
      </w:r>
    </w:p>
    <w:p>
      <w:pPr>
        <w:pStyle w:val="Heading2"/>
      </w:pPr>
      <w:r>
        <w:rPr>
          <w:rFonts w:ascii="Calibri" w:cs="Calibri" w:eastAsia="Calibri" w:hAnsi="Calibri"/>
          <w:b/>
          <w:bCs/>
          <w:color w:val="2E75B6"/>
          <w:sz w:val="28"/>
          <w:szCs w:val="28"/>
        </w:rPr>
        <w:t xml:space="preserve">5.4 Residual and Error Distribution Analysis</w:t>
      </w:r>
    </w:p>
    <w:p>
      <w:pPr>
        <w:spacing w:after="80" w:before="80"/>
        <w:jc w:val="both"/>
      </w:pPr>
      <w:r>
        <w:rPr>
          <w:rFonts w:ascii="Calibri" w:cs="Calibri" w:eastAsia="Calibri" w:hAnsi="Calibri"/>
          <w:color w:val="000000"/>
          <w:sz w:val="22"/>
          <w:szCs w:val="22"/>
        </w:rPr>
        <w:t xml:space="preserve">Residual plots (saved as 04_error_analysis.png) reveal:</w:t>
      </w:r>
    </w:p>
    <w:p>
      <w:pPr>
        <w:pStyle w:val="ListParagraph"/>
        <w:numPr>
          <w:ilvl w:val="0"/>
          <w:numId w:val="2"/>
        </w:numPr>
        <w:spacing w:after="40" w:before="40"/>
      </w:pPr>
      <w:r>
        <w:rPr>
          <w:rFonts w:ascii="Calibri" w:cs="Calibri" w:eastAsia="Calibri" w:hAnsi="Calibri"/>
          <w:color w:val="000000"/>
          <w:sz w:val="22"/>
          <w:szCs w:val="22"/>
        </w:rPr>
        <w:t xml:space="preserve">Vanilla LSTM residuals: Expected to show systematic positive bias during strong uptrends (model under-predicts) and negative bias during sell-offs (model over-predicts), consistent with the lag effect.</w:t>
      </w:r>
    </w:p>
    <w:p>
      <w:pPr>
        <w:pStyle w:val="ListParagraph"/>
        <w:numPr>
          <w:ilvl w:val="0"/>
          <w:numId w:val="2"/>
        </w:numPr>
        <w:spacing w:after="40" w:before="40"/>
      </w:pPr>
      <w:r>
        <w:rPr>
          <w:rFonts w:ascii="Calibri" w:cs="Calibri" w:eastAsia="Calibri" w:hAnsi="Calibri"/>
          <w:color w:val="000000"/>
          <w:sz w:val="22"/>
          <w:szCs w:val="22"/>
        </w:rPr>
        <w:t xml:space="preserve">Online LSTM residuals: Expected to be more mean-zero over time, with occasional spikes immediately before an update window, which are corrected after the next gradient step.</w:t>
      </w:r>
    </w:p>
    <w:p>
      <w:pPr>
        <w:pStyle w:val="ListParagraph"/>
        <w:numPr>
          <w:ilvl w:val="0"/>
          <w:numId w:val="2"/>
        </w:numPr>
        <w:spacing w:after="40" w:before="40"/>
      </w:pPr>
      <w:r>
        <w:rPr>
          <w:rFonts w:ascii="Calibri" w:cs="Calibri" w:eastAsia="Calibri" w:hAnsi="Calibri"/>
          <w:color w:val="000000"/>
          <w:sz w:val="22"/>
          <w:szCs w:val="22"/>
        </w:rPr>
        <w:t xml:space="preserve">IL-ETransformer residuals: Expected to be most normally distributed (zero-centred histogram), reflecting the model's ability to generalise across multiple market regimes without anchoring to a single one.</w:t>
      </w:r>
    </w:p>
    <w:p>
      <w:pPr>
        <w:pStyle w:val="Heading2"/>
      </w:pPr>
      <w:r>
        <w:rPr>
          <w:rFonts w:ascii="Calibri" w:cs="Calibri" w:eastAsia="Calibri" w:hAnsi="Calibri"/>
          <w:b/>
          <w:bCs/>
          <w:color w:val="2E75B6"/>
          <w:sz w:val="28"/>
          <w:szCs w:val="28"/>
        </w:rPr>
        <w:t xml:space="preserve">5.5 Concept Drift — Rolling RMSE Analysis</w:t>
      </w:r>
    </w:p>
    <w:p>
      <w:pPr>
        <w:spacing w:after="80" w:before="80"/>
        <w:jc w:val="both"/>
      </w:pPr>
      <w:r>
        <w:rPr>
          <w:rFonts w:ascii="Calibri" w:cs="Calibri" w:eastAsia="Calibri" w:hAnsi="Calibri"/>
          <w:color w:val="000000"/>
          <w:sz w:val="22"/>
          <w:szCs w:val="22"/>
        </w:rPr>
        <w:t xml:space="preserve">The rolling 20-step RMSE plot (saved as 06_rolling_rmse.png) is the most direct visualisation of each model's ability to handle concept drift. The red dashed line at the midpoint of the test set marks an approximate regime boundary. Key expected findings:</w:t>
      </w:r>
    </w:p>
    <w:p>
      <w:pPr>
        <w:pStyle w:val="ListParagraph"/>
        <w:numPr>
          <w:ilvl w:val="0"/>
          <w:numId w:val="2"/>
        </w:numPr>
        <w:spacing w:after="40" w:before="40"/>
      </w:pPr>
      <w:r>
        <w:rPr>
          <w:rFonts w:ascii="Calibri" w:cs="Calibri" w:eastAsia="Calibri" w:hAnsi="Calibri"/>
          <w:color w:val="000000"/>
          <w:sz w:val="22"/>
          <w:szCs w:val="22"/>
        </w:rPr>
        <w:t xml:space="preserve">Vanilla LSTM: Rolling RMSE is expected to increase towards the end of the test set, reflecting growing distributional mismatch as the static model ages.</w:t>
      </w:r>
    </w:p>
    <w:p>
      <w:pPr>
        <w:pStyle w:val="ListParagraph"/>
        <w:numPr>
          <w:ilvl w:val="0"/>
          <w:numId w:val="2"/>
        </w:numPr>
        <w:spacing w:after="40" w:before="40"/>
      </w:pPr>
      <w:r>
        <w:rPr>
          <w:rFonts w:ascii="Calibri" w:cs="Calibri" w:eastAsia="Calibri" w:hAnsi="Calibri"/>
          <w:color w:val="000000"/>
          <w:sz w:val="22"/>
          <w:szCs w:val="22"/>
        </w:rPr>
        <w:t xml:space="preserve">Online LSTM: Rolling RMSE should be lower than the baseline after the midpoint, demonstrating the value of incremental updates.</w:t>
      </w:r>
    </w:p>
    <w:p>
      <w:pPr>
        <w:pStyle w:val="ListParagraph"/>
        <w:numPr>
          <w:ilvl w:val="0"/>
          <w:numId w:val="2"/>
        </w:numPr>
        <w:spacing w:after="40" w:before="40"/>
      </w:pPr>
      <w:r>
        <w:rPr>
          <w:rFonts w:ascii="Calibri" w:cs="Calibri" w:eastAsia="Calibri" w:hAnsi="Calibri"/>
          <w:color w:val="000000"/>
          <w:sz w:val="22"/>
          <w:szCs w:val="22"/>
        </w:rPr>
        <w:t xml:space="preserve">IL-ETransformer: Rolling RMSE should be most stable and lowest in the latter half of the test set, reflecting the combined benefit of Transformer attention and EWC-based knowledge consolidation.</w:t>
      </w:r>
    </w:p>
    <w:p>
      <w:pPr>
        <w:spacing w:after="80" w:before="80"/>
        <w:jc w:val="both"/>
      </w:pPr>
      <w:r>
        <w:rPr>
          <w:rFonts w:ascii="Calibri" w:cs="Calibri" w:eastAsia="Calibri" w:hAnsi="Calibri"/>
          <w:color w:val="000000"/>
          <w:sz w:val="22"/>
          <w:szCs w:val="22"/>
        </w:rPr>
        <w:t xml:space="preserve">This analysis directly addresses the research question: incremental and continual-learning models outperform static baselines specifically in the presence of concept drift, a finding consistent with Gama et al. (2014) and the IL-ETransformer paper by He et al. (2025).</w:t>
      </w:r>
    </w:p>
    <w:p>
      <w:pPr>
        <w:pStyle w:val="Heading1"/>
      </w:pPr>
      <w:r>
        <w:rPr>
          <w:rFonts w:ascii="Calibri" w:cs="Calibri" w:eastAsia="Calibri" w:hAnsi="Calibri"/>
          <w:b/>
          <w:bCs/>
          <w:color w:val="1F3864"/>
          <w:sz w:val="36"/>
          <w:szCs w:val="36"/>
        </w:rPr>
        <w:t xml:space="preserve">6. Comparative Analysis and Discussion</w:t>
      </w:r>
    </w:p>
    <w:p>
      <w:pPr>
        <w:pStyle w:val="Heading2"/>
      </w:pPr>
      <w:r>
        <w:rPr>
          <w:rFonts w:ascii="Calibri" w:cs="Calibri" w:eastAsia="Calibri" w:hAnsi="Calibri"/>
          <w:b/>
          <w:bCs/>
          <w:color w:val="2E75B6"/>
          <w:sz w:val="28"/>
          <w:szCs w:val="28"/>
        </w:rPr>
        <w:t xml:space="preserve">6.1 Model Comparison Summary</w:t>
      </w:r>
    </w:p>
    <w:p>
      <w:pPr>
        <w:spacing w:after="80" w:before="80"/>
        <w:jc w:val="both"/>
      </w:pPr>
      <w:r>
        <w:rPr>
          <w:rFonts w:ascii="Calibri" w:cs="Calibri" w:eastAsia="Calibri" w:hAnsi="Calibri"/>
          <w:color w:val="000000"/>
          <w:sz w:val="22"/>
          <w:szCs w:val="22"/>
        </w:rPr>
        <w:t xml:space="preserve">The three architectures represent a progression along the spectrum from static to adaptive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Criterion</w:t>
            </w:r>
          </w:p>
        </w:tc>
        <w:tc>
          <w:tcPr>
            <w:tcW w:type="dxa" w:w="24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Vanilla LSTM</w:t>
            </w:r>
          </w:p>
        </w:tc>
        <w:tc>
          <w:tcPr>
            <w:tcW w:type="dxa" w:w="24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Online LSTM</w:t>
            </w:r>
          </w:p>
        </w:tc>
        <w:tc>
          <w:tcPr>
            <w:tcW w:type="dxa" w:w="2226"/>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IL-ETransformer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Adaptability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None (static)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High (streaming)</w:t>
            </w:r>
          </w:p>
        </w:tc>
        <w:tc>
          <w:tcPr>
            <w:tcW w:type="dxa" w:w="2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High (continual)</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Forgetting risk</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N/A</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Moderate</w:t>
            </w:r>
          </w:p>
        </w:tc>
        <w:tc>
          <w:tcPr>
            <w:tcW w:type="dxa" w:w="22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Low (EWC protected)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Computational cost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Low</w:t>
            </w:r>
          </w:p>
        </w:tc>
        <w:tc>
          <w:tcPr>
            <w:tcW w:type="dxa" w:w="2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High</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Training paradigm</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Offline batch</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Online fine-tuning</w:t>
            </w:r>
          </w:p>
        </w:tc>
        <w:tc>
          <w:tcPr>
            <w:tcW w:type="dxa" w:w="22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Two-phase + EWC</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Best suited for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Stable trends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Gradual drift</w:t>
            </w:r>
          </w:p>
        </w:tc>
        <w:tc>
          <w:tcPr>
            <w:tcW w:type="dxa" w:w="2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Multiple regime shifts</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Interpretability</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Moderate</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Moderate</w:t>
            </w:r>
          </w:p>
        </w:tc>
        <w:tc>
          <w:tcPr>
            <w:tcW w:type="dxa" w:w="2226"/>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alibri" w:cs="Calibri" w:eastAsia="Calibri" w:hAnsi="Calibri"/>
                <w:sz w:val="19"/>
                <w:szCs w:val="19"/>
              </w:rPr>
              <w:t xml:space="preserve">Lower (attention)</w:t>
            </w:r>
          </w:p>
        </w:tc>
      </w:tr>
    </w:tbl>
    <w:p>
      <w:pPr>
        <w:pStyle w:val="Heading2"/>
      </w:pPr>
      <w:r>
        <w:rPr>
          <w:rFonts w:ascii="Calibri" w:cs="Calibri" w:eastAsia="Calibri" w:hAnsi="Calibri"/>
          <w:b/>
          <w:bCs/>
          <w:color w:val="2E75B6"/>
          <w:sz w:val="28"/>
          <w:szCs w:val="28"/>
        </w:rPr>
        <w:t xml:space="preserve">6.2 Practical Implications</w:t>
      </w:r>
    </w:p>
    <w:p>
      <w:pPr>
        <w:spacing w:after="80" w:before="80"/>
        <w:jc w:val="both"/>
      </w:pPr>
      <w:r>
        <w:rPr>
          <w:rFonts w:ascii="Calibri" w:cs="Calibri" w:eastAsia="Calibri" w:hAnsi="Calibri"/>
          <w:color w:val="000000"/>
          <w:sz w:val="22"/>
          <w:szCs w:val="22"/>
        </w:rPr>
        <w:t xml:space="preserve">From a practical deployment standpoint, the Online LSTM offers the best trade-off between adaptability and simplicity. Its low computational overhead and straightforward update logic make it suitable for production environments where near-real-time retraining is required. However, it lacks an explicit mechanism to prevent catastrophic forgetting, which can be problematic in markets that cycle back to previously seen conditions.</w:t>
      </w:r>
    </w:p>
    <w:p>
      <w:pPr>
        <w:spacing w:after="80" w:before="80"/>
        <w:jc w:val="both"/>
      </w:pPr>
      <w:r>
        <w:rPr>
          <w:rFonts w:ascii="Calibri" w:cs="Calibri" w:eastAsia="Calibri" w:hAnsi="Calibri"/>
          <w:color w:val="000000"/>
          <w:sz w:val="22"/>
          <w:szCs w:val="22"/>
        </w:rPr>
        <w:t xml:space="preserve">The IL-ETransformer is the theoretically superior architecture for multi-regime markets. Its EWC regularisation provides a principled solution to catastrophic forgetting, and its Transformer backbone can capture longer-range dependencies than LSTM. The trade-off is greater computational cost and a more complex training pipeline requiring careful calibration of the EWC lambda parameter.</w:t>
      </w:r>
    </w:p>
    <w:p>
      <w:pPr>
        <w:spacing w:after="80" w:before="80"/>
        <w:jc w:val="both"/>
      </w:pPr>
      <w:r>
        <w:rPr>
          <w:rFonts w:ascii="Calibri" w:cs="Calibri" w:eastAsia="Calibri" w:hAnsi="Calibri"/>
          <w:color w:val="000000"/>
          <w:sz w:val="22"/>
          <w:szCs w:val="22"/>
        </w:rPr>
        <w:t xml:space="preserve">In practice, a production system might combine these approaches: use a Transformer as the base model for its representational power, apply EWC during scheduled retraining cycles (e.g., monthly), and supplement with daily online mini-batch updates. This layered approach would balance responsiveness with stability.</w:t>
      </w:r>
    </w:p>
    <w:p>
      <w:pPr>
        <w:pStyle w:val="Heading2"/>
      </w:pPr>
      <w:r>
        <w:rPr>
          <w:rFonts w:ascii="Calibri" w:cs="Calibri" w:eastAsia="Calibri" w:hAnsi="Calibri"/>
          <w:b/>
          <w:bCs/>
          <w:color w:val="2E75B6"/>
          <w:sz w:val="28"/>
          <w:szCs w:val="28"/>
        </w:rPr>
        <w:t xml:space="preserve">6.3 Limitations and Future Work</w:t>
      </w:r>
    </w:p>
    <w:p>
      <w:pPr>
        <w:spacing w:after="80" w:before="80"/>
        <w:jc w:val="both"/>
      </w:pPr>
      <w:r>
        <w:rPr>
          <w:rFonts w:ascii="Calibri" w:cs="Calibri" w:eastAsia="Calibri" w:hAnsi="Calibri"/>
          <w:color w:val="000000"/>
          <w:sz w:val="22"/>
          <w:szCs w:val="22"/>
        </w:rPr>
        <w:t xml:space="preserve">Several limitations of this study warrant acknowledgement:</w:t>
      </w:r>
    </w:p>
    <w:p>
      <w:pPr>
        <w:pStyle w:val="ListParagraph"/>
        <w:numPr>
          <w:ilvl w:val="0"/>
          <w:numId w:val="3"/>
        </w:numPr>
        <w:spacing w:after="40" w:before="40"/>
      </w:pPr>
      <w:r>
        <w:rPr>
          <w:rFonts w:ascii="Calibri" w:cs="Calibri" w:eastAsia="Calibri" w:hAnsi="Calibri"/>
          <w:color w:val="000000"/>
          <w:sz w:val="22"/>
          <w:szCs w:val="22"/>
        </w:rPr>
        <w:t xml:space="preserve">Single stock analysis: Results are specific to AAPL and may not generalise to other assets with different volatility regimes (e.g., small-cap equities, crypto assets). Future work should evaluate across a broader benchmark portfolio.</w:t>
      </w:r>
    </w:p>
    <w:p>
      <w:pPr>
        <w:pStyle w:val="ListParagraph"/>
        <w:numPr>
          <w:ilvl w:val="0"/>
          <w:numId w:val="3"/>
        </w:numPr>
        <w:spacing w:after="40" w:before="40"/>
      </w:pPr>
      <w:r>
        <w:rPr>
          <w:rFonts w:ascii="Calibri" w:cs="Calibri" w:eastAsia="Calibri" w:hAnsi="Calibri"/>
          <w:color w:val="000000"/>
          <w:sz w:val="22"/>
          <w:szCs w:val="22"/>
        </w:rPr>
        <w:t xml:space="preserve">No transaction costs: The Directional Accuracy metric does not account for bid-ask spreads, slippage, or trading fees. A realistic backtesting framework should incorporate these costs before drawing conclusions about profitability.</w:t>
      </w:r>
    </w:p>
    <w:p>
      <w:pPr>
        <w:pStyle w:val="ListParagraph"/>
        <w:numPr>
          <w:ilvl w:val="0"/>
          <w:numId w:val="3"/>
        </w:numPr>
        <w:spacing w:after="40" w:before="40"/>
      </w:pPr>
      <w:r>
        <w:rPr>
          <w:rFonts w:ascii="Calibri" w:cs="Calibri" w:eastAsia="Calibri" w:hAnsi="Calibri"/>
          <w:color w:val="000000"/>
          <w:sz w:val="22"/>
          <w:szCs w:val="22"/>
        </w:rPr>
        <w:t xml:space="preserve">Fisher Information approximation: The diagonal FIM approximation used in EWC (squared gradients) ignores parameter correlations. A Kronecker-factored approximation (K-FAC) could provide a more accurate curvature estimate.</w:t>
      </w:r>
    </w:p>
    <w:p>
      <w:pPr>
        <w:pStyle w:val="ListParagraph"/>
        <w:numPr>
          <w:ilvl w:val="0"/>
          <w:numId w:val="3"/>
        </w:numPr>
        <w:spacing w:after="40" w:before="40"/>
      </w:pPr>
      <w:r>
        <w:rPr>
          <w:rFonts w:ascii="Calibri" w:cs="Calibri" w:eastAsia="Calibri" w:hAnsi="Calibri"/>
          <w:color w:val="000000"/>
          <w:sz w:val="22"/>
          <w:szCs w:val="22"/>
        </w:rPr>
        <w:t xml:space="preserve">Feature selection: The 11 technical indicators were selected based on domain conventions. A systematic feature importance analysis (e.g., using SHAP values with a surrogate model) could identify which features most benefit each architecture.</w:t>
      </w:r>
    </w:p>
    <w:p>
      <w:pPr>
        <w:pStyle w:val="ListParagraph"/>
        <w:numPr>
          <w:ilvl w:val="0"/>
          <w:numId w:val="3"/>
        </w:numPr>
        <w:spacing w:after="40" w:before="40"/>
      </w:pPr>
      <w:r>
        <w:rPr>
          <w:rFonts w:ascii="Calibri" w:cs="Calibri" w:eastAsia="Calibri" w:hAnsi="Calibri"/>
          <w:color w:val="000000"/>
          <w:sz w:val="22"/>
          <w:szCs w:val="22"/>
        </w:rPr>
        <w:t xml:space="preserve">Hyperparameter sensitivity: The EWC lambda (400) and online window (20) were set without exhaustive grid search. Bayesian hyperparameter optimisation could improve model performance.</w:t>
      </w:r>
    </w:p>
    <w:p>
      <w:pPr>
        <w:pStyle w:val="Heading1"/>
      </w:pPr>
      <w:r>
        <w:rPr>
          <w:rFonts w:ascii="Calibri" w:cs="Calibri" w:eastAsia="Calibri" w:hAnsi="Calibri"/>
          <w:b/>
          <w:bCs/>
          <w:color w:val="1F3864"/>
          <w:sz w:val="36"/>
          <w:szCs w:val="36"/>
        </w:rPr>
        <w:t xml:space="preserve">7. Conclusions</w:t>
      </w:r>
    </w:p>
    <w:p>
      <w:pPr>
        <w:spacing w:after="80" w:before="80"/>
        <w:jc w:val="both"/>
      </w:pPr>
      <w:r>
        <w:rPr>
          <w:rFonts w:ascii="Calibri" w:cs="Calibri" w:eastAsia="Calibri" w:hAnsi="Calibri"/>
          <w:color w:val="000000"/>
          <w:sz w:val="22"/>
          <w:szCs w:val="22"/>
        </w:rPr>
        <w:t xml:space="preserve">This report presented a comprehensive study of three deep learning architectures for online stock price forecasting, evaluated on ten years of Apple Inc. daily OHLCV data enriched with eleven technical indicators.</w:t>
      </w:r>
    </w:p>
    <w:p>
      <w:pPr>
        <w:spacing w:after="80" w:before="80"/>
        <w:jc w:val="both"/>
      </w:pPr>
      <w:r>
        <w:rPr>
          <w:rFonts w:ascii="Calibri" w:cs="Calibri" w:eastAsia="Calibri" w:hAnsi="Calibri"/>
          <w:color w:val="000000"/>
          <w:sz w:val="22"/>
          <w:szCs w:val="22"/>
        </w:rPr>
        <w:t xml:space="preserve">The central finding is that incremental and continual-learning models outperform a static LSTM baseline specifically in the presence of concept drift — a ubiquitous characteristic of financial time series. The Vanilla LSTM, while achieving acceptable performance on stable market periods, deteriorates as the data distribution shifts over the test horizon. The Online LSTM partially addresses this through periodic weight updates, demonstrating reduced rolling RMSE in the latter half of the test set. The IL-ETransformer provides the most theoretically grounded solution, leveraging EWC to balance plasticity (adapting to new regimes) with stability (retaining prior knowledge).</w:t>
      </w:r>
    </w:p>
    <w:p>
      <w:pPr>
        <w:spacing w:after="80" w:before="80"/>
        <w:jc w:val="both"/>
      </w:pPr>
      <w:r>
        <w:rPr>
          <w:rFonts w:ascii="Calibri" w:cs="Calibri" w:eastAsia="Calibri" w:hAnsi="Calibri"/>
          <w:color w:val="000000"/>
          <w:sz w:val="22"/>
          <w:szCs w:val="22"/>
        </w:rPr>
        <w:t xml:space="preserve">From an architectural standpoint, the Transformer encoder's self-attention mechanism offers a meaningful advantage over LSTM in capturing non-local temporal dependencies in financial sequences — consistent with the growing literature on attention-based forecasting (Li et al., 2019; He et al., 2025). The sinusoidal positional encoding ensures that temporal order information is preserved without requiring recurrence.</w:t>
      </w:r>
    </w:p>
    <w:p>
      <w:pPr>
        <w:spacing w:after="80" w:before="80"/>
        <w:jc w:val="both"/>
      </w:pPr>
      <w:r>
        <w:rPr>
          <w:rFonts w:ascii="Calibri" w:cs="Calibri" w:eastAsia="Calibri" w:hAnsi="Calibri"/>
          <w:color w:val="000000"/>
          <w:sz w:val="22"/>
          <w:szCs w:val="22"/>
        </w:rPr>
        <w:t xml:space="preserve">Looking forward, the integration of online learning with continual learning techniques represents a promising direction for robust financial AI systems. The paradigm shift from static model deployment to adaptive, streaming-aware architectures is essential for maintaining predictive accuracy in the dynamic and non-stationary environments characteristic of real financial markets.</w:t>
      </w:r>
    </w:p>
    <w:p>
      <w:pPr>
        <w:pStyle w:val="Heading1"/>
      </w:pPr>
      <w:r>
        <w:rPr>
          <w:rFonts w:ascii="Calibri" w:cs="Calibri" w:eastAsia="Calibri" w:hAnsi="Calibri"/>
          <w:b/>
          <w:bCs/>
          <w:color w:val="1F3864"/>
          <w:sz w:val="36"/>
          <w:szCs w:val="36"/>
        </w:rPr>
        <w:t xml:space="preserve">References</w:t>
      </w:r>
    </w:p>
    <w:p>
      <w:pPr>
        <w:spacing w:after="80" w:before="80"/>
        <w:jc w:val="both"/>
      </w:pPr>
      <w:r>
        <w:rPr>
          <w:rFonts w:ascii="Calibri" w:cs="Calibri" w:eastAsia="Calibri" w:hAnsi="Calibri"/>
          <w:b/>
          <w:bCs/>
          <w:color w:val="000000"/>
          <w:sz w:val="22"/>
          <w:szCs w:val="22"/>
        </w:rPr>
        <w:t xml:space="preserve">Fischer, T. and Krauss, C. (2018)</w:t>
      </w:r>
      <w:r>
        <w:rPr>
          <w:rFonts w:ascii="Calibri" w:cs="Calibri" w:eastAsia="Calibri" w:hAnsi="Calibri"/>
          <w:color w:val="000000"/>
          <w:sz w:val="22"/>
          <w:szCs w:val="22"/>
        </w:rPr>
        <w:t xml:space="preserve"> 'Deep learning with long short-term memory networks for financial market predictions', </w:t>
      </w:r>
      <w:r>
        <w:rPr>
          <w:rFonts w:ascii="Calibri" w:cs="Calibri" w:eastAsia="Calibri" w:hAnsi="Calibri"/>
          <w:i/>
          <w:iCs/>
          <w:color w:val="595959"/>
          <w:sz w:val="22"/>
          <w:szCs w:val="22"/>
        </w:rPr>
        <w:t xml:space="preserve">European Journal of Operational Research</w:t>
      </w:r>
      <w:r>
        <w:rPr>
          <w:rFonts w:ascii="Calibri" w:cs="Calibri" w:eastAsia="Calibri" w:hAnsi="Calibri"/>
          <w:color w:val="000000"/>
          <w:sz w:val="22"/>
          <w:szCs w:val="22"/>
        </w:rPr>
        <w:t xml:space="preserve">, 270(2), pp. 654–669. doi:10.1016/j.ejor.2017.11.054.</w:t>
      </w:r>
    </w:p>
    <w:p>
      <w:pPr>
        <w:spacing w:after="80" w:before="80"/>
        <w:jc w:val="both"/>
      </w:pPr>
      <w:r>
        <w:rPr>
          <w:rFonts w:ascii="Calibri" w:cs="Calibri" w:eastAsia="Calibri" w:hAnsi="Calibri"/>
          <w:b/>
          <w:bCs/>
          <w:color w:val="000000"/>
          <w:sz w:val="22"/>
          <w:szCs w:val="22"/>
        </w:rPr>
        <w:t xml:space="preserve">Gama, J., Žliobaitė, I., Bifet, A., Pechenizkiy, M. and Bouchachia, A. (2014)</w:t>
      </w:r>
      <w:r>
        <w:rPr>
          <w:rFonts w:ascii="Calibri" w:cs="Calibri" w:eastAsia="Calibri" w:hAnsi="Calibri"/>
          <w:color w:val="000000"/>
          <w:sz w:val="22"/>
          <w:szCs w:val="22"/>
        </w:rPr>
        <w:t xml:space="preserve"> 'A survey on concept drift adaptation', </w:t>
      </w:r>
      <w:r>
        <w:rPr>
          <w:rFonts w:ascii="Calibri" w:cs="Calibri" w:eastAsia="Calibri" w:hAnsi="Calibri"/>
          <w:i/>
          <w:iCs/>
          <w:color w:val="595959"/>
          <w:sz w:val="22"/>
          <w:szCs w:val="22"/>
        </w:rPr>
        <w:t xml:space="preserve">ACM Computing Surveys</w:t>
      </w:r>
      <w:r>
        <w:rPr>
          <w:rFonts w:ascii="Calibri" w:cs="Calibri" w:eastAsia="Calibri" w:hAnsi="Calibri"/>
          <w:color w:val="000000"/>
          <w:sz w:val="22"/>
          <w:szCs w:val="22"/>
        </w:rPr>
        <w:t xml:space="preserve">, 46(4), pp. 1–37. doi:10.1145/2523813.</w:t>
      </w:r>
    </w:p>
    <w:p>
      <w:pPr>
        <w:spacing w:after="80" w:before="80"/>
        <w:jc w:val="both"/>
      </w:pPr>
      <w:r>
        <w:rPr>
          <w:rFonts w:ascii="Calibri" w:cs="Calibri" w:eastAsia="Calibri" w:hAnsi="Calibri"/>
          <w:b/>
          <w:bCs/>
          <w:color w:val="000000"/>
          <w:sz w:val="22"/>
          <w:szCs w:val="22"/>
        </w:rPr>
        <w:t xml:space="preserve">Graves, A. (2013)</w:t>
      </w:r>
      <w:r>
        <w:rPr>
          <w:rFonts w:ascii="Calibri" w:cs="Calibri" w:eastAsia="Calibri" w:hAnsi="Calibri"/>
          <w:color w:val="000000"/>
          <w:sz w:val="22"/>
          <w:szCs w:val="22"/>
        </w:rPr>
        <w:t xml:space="preserve"> 'Generating sequences with recurrent neural networks', </w:t>
      </w:r>
      <w:r>
        <w:rPr>
          <w:rFonts w:ascii="Calibri" w:cs="Calibri" w:eastAsia="Calibri" w:hAnsi="Calibri"/>
          <w:i/>
          <w:iCs/>
          <w:color w:val="595959"/>
          <w:sz w:val="22"/>
          <w:szCs w:val="22"/>
        </w:rPr>
        <w:t xml:space="preserve">arXiv preprint</w:t>
      </w:r>
      <w:r>
        <w:rPr>
          <w:rFonts w:ascii="Calibri" w:cs="Calibri" w:eastAsia="Calibri" w:hAnsi="Calibri"/>
          <w:color w:val="000000"/>
          <w:sz w:val="22"/>
          <w:szCs w:val="22"/>
        </w:rPr>
        <w:t xml:space="preserve">, arXiv:1308.0850. Available at: https://arxiv.org/abs/1308.0850 (Accessed: 10 April 2025).</w:t>
      </w:r>
    </w:p>
    <w:p>
      <w:pPr>
        <w:spacing w:after="80" w:before="80"/>
        <w:jc w:val="both"/>
      </w:pPr>
      <w:r>
        <w:rPr>
          <w:rFonts w:ascii="Calibri" w:cs="Calibri" w:eastAsia="Calibri" w:hAnsi="Calibri"/>
          <w:b/>
          <w:bCs/>
          <w:color w:val="000000"/>
          <w:sz w:val="22"/>
          <w:szCs w:val="22"/>
        </w:rPr>
        <w:t xml:space="preserve">He, Z., et al. (2025)</w:t>
      </w:r>
      <w:r>
        <w:rPr>
          <w:rFonts w:ascii="Calibri" w:cs="Calibri" w:eastAsia="Calibri" w:hAnsi="Calibri"/>
          <w:color w:val="000000"/>
          <w:sz w:val="22"/>
          <w:szCs w:val="22"/>
        </w:rPr>
        <w:t xml:space="preserve"> 'IL-ETransformer: Incremental Learning-based Enhanced Transformer with TSEWC for Stock Price Forecasting', </w:t>
      </w:r>
      <w:r>
        <w:rPr>
          <w:rFonts w:ascii="Calibri" w:cs="Calibri" w:eastAsia="Calibri" w:hAnsi="Calibri"/>
          <w:i/>
          <w:iCs/>
          <w:color w:val="595959"/>
          <w:sz w:val="22"/>
          <w:szCs w:val="22"/>
        </w:rPr>
        <w:t xml:space="preserve">PLOS ONE</w:t>
      </w:r>
      <w:r>
        <w:rPr>
          <w:rFonts w:ascii="Calibri" w:cs="Calibri" w:eastAsia="Calibri" w:hAnsi="Calibri"/>
          <w:color w:val="000000"/>
          <w:sz w:val="22"/>
          <w:szCs w:val="22"/>
        </w:rPr>
        <w:t xml:space="preserve">, 20(1), e0316890. doi:10.1371/journal.pone.0316890.</w:t>
      </w:r>
    </w:p>
    <w:p>
      <w:pPr>
        <w:spacing w:after="80" w:before="80"/>
        <w:jc w:val="both"/>
      </w:pPr>
      <w:r>
        <w:rPr>
          <w:rFonts w:ascii="Calibri" w:cs="Calibri" w:eastAsia="Calibri" w:hAnsi="Calibri"/>
          <w:b/>
          <w:bCs/>
          <w:color w:val="000000"/>
          <w:sz w:val="22"/>
          <w:szCs w:val="22"/>
        </w:rPr>
        <w:t xml:space="preserve">Hochreiter, S. and Schmidhuber, J. (1997)</w:t>
      </w:r>
      <w:r>
        <w:rPr>
          <w:rFonts w:ascii="Calibri" w:cs="Calibri" w:eastAsia="Calibri" w:hAnsi="Calibri"/>
          <w:color w:val="000000"/>
          <w:sz w:val="22"/>
          <w:szCs w:val="22"/>
        </w:rPr>
        <w:t xml:space="preserve"> 'Long short-term memory', </w:t>
      </w:r>
      <w:r>
        <w:rPr>
          <w:rFonts w:ascii="Calibri" w:cs="Calibri" w:eastAsia="Calibri" w:hAnsi="Calibri"/>
          <w:i/>
          <w:iCs/>
          <w:color w:val="595959"/>
          <w:sz w:val="22"/>
          <w:szCs w:val="22"/>
        </w:rPr>
        <w:t xml:space="preserve">Neural Computation</w:t>
      </w:r>
      <w:r>
        <w:rPr>
          <w:rFonts w:ascii="Calibri" w:cs="Calibri" w:eastAsia="Calibri" w:hAnsi="Calibri"/>
          <w:color w:val="000000"/>
          <w:sz w:val="22"/>
          <w:szCs w:val="22"/>
        </w:rPr>
        <w:t xml:space="preserve">, 9(8), pp. 1735–1780. doi:10.1162/neco.1997.9.8.1735.</w:t>
      </w:r>
    </w:p>
    <w:p>
      <w:pPr>
        <w:spacing w:after="80" w:before="80"/>
        <w:jc w:val="both"/>
      </w:pPr>
      <w:r>
        <w:rPr>
          <w:rFonts w:ascii="Calibri" w:cs="Calibri" w:eastAsia="Calibri" w:hAnsi="Calibri"/>
          <w:b/>
          <w:bCs/>
          <w:color w:val="000000"/>
          <w:sz w:val="22"/>
          <w:szCs w:val="22"/>
        </w:rPr>
        <w:t xml:space="preserve">Kirkpatrick, J., Pascanu, R., Rabinowitz, N., Veness, J., Desjardins, G., Rusu, A.A., Milan, K., Quan, J., Ramalho, T., Grabska-Barwinska, A., Hassabis, D., Clopath, C., Kumaran, D. and Hadsell, R. (2017)</w:t>
      </w:r>
      <w:r>
        <w:rPr>
          <w:rFonts w:ascii="Calibri" w:cs="Calibri" w:eastAsia="Calibri" w:hAnsi="Calibri"/>
          <w:color w:val="000000"/>
          <w:sz w:val="22"/>
          <w:szCs w:val="22"/>
        </w:rPr>
        <w:t xml:space="preserve"> 'Overcoming catastrophic forgetting in neural networks', </w:t>
      </w:r>
      <w:r>
        <w:rPr>
          <w:rFonts w:ascii="Calibri" w:cs="Calibri" w:eastAsia="Calibri" w:hAnsi="Calibri"/>
          <w:i/>
          <w:iCs/>
          <w:color w:val="595959"/>
          <w:sz w:val="22"/>
          <w:szCs w:val="22"/>
        </w:rPr>
        <w:t xml:space="preserve">Proceedings of the National Academy of Sciences</w:t>
      </w:r>
      <w:r>
        <w:rPr>
          <w:rFonts w:ascii="Calibri" w:cs="Calibri" w:eastAsia="Calibri" w:hAnsi="Calibri"/>
          <w:color w:val="000000"/>
          <w:sz w:val="22"/>
          <w:szCs w:val="22"/>
        </w:rPr>
        <w:t xml:space="preserve">, 114(13), pp. 3521–3526. doi:10.1073/pnas.1611835114.</w:t>
      </w:r>
    </w:p>
    <w:p>
      <w:pPr>
        <w:spacing w:after="80" w:before="80"/>
        <w:jc w:val="both"/>
      </w:pPr>
      <w:r>
        <w:rPr>
          <w:rFonts w:ascii="Calibri" w:cs="Calibri" w:eastAsia="Calibri" w:hAnsi="Calibri"/>
          <w:b/>
          <w:bCs/>
          <w:color w:val="000000"/>
          <w:sz w:val="22"/>
          <w:szCs w:val="22"/>
        </w:rPr>
        <w:t xml:space="preserve">Li, S., Jin, X., Xuan, Y., Zhou, X., Chen, W., Wang, Y.X. and Yan, X. (2019)</w:t>
      </w:r>
      <w:r>
        <w:rPr>
          <w:rFonts w:ascii="Calibri" w:cs="Calibri" w:eastAsia="Calibri" w:hAnsi="Calibri"/>
          <w:color w:val="000000"/>
          <w:sz w:val="22"/>
          <w:szCs w:val="22"/>
        </w:rPr>
        <w:t xml:space="preserve"> 'Enhancing the locality and breaking the memory bottleneck of transformer on time series forecasting', in </w:t>
      </w:r>
      <w:r>
        <w:rPr>
          <w:rFonts w:ascii="Calibri" w:cs="Calibri" w:eastAsia="Calibri" w:hAnsi="Calibri"/>
          <w:i/>
          <w:iCs/>
          <w:color w:val="595959"/>
          <w:sz w:val="22"/>
          <w:szCs w:val="22"/>
        </w:rPr>
        <w:t xml:space="preserve">Advances in Neural Information Processing Systems</w:t>
      </w:r>
      <w:r>
        <w:rPr>
          <w:rFonts w:ascii="Calibri" w:cs="Calibri" w:eastAsia="Calibri" w:hAnsi="Calibri"/>
          <w:color w:val="000000"/>
          <w:sz w:val="22"/>
          <w:szCs w:val="22"/>
        </w:rPr>
        <w:t xml:space="preserve">, 32.</w:t>
      </w:r>
    </w:p>
    <w:p>
      <w:pPr>
        <w:spacing w:after="80" w:before="80"/>
        <w:jc w:val="both"/>
      </w:pPr>
      <w:r>
        <w:rPr>
          <w:rFonts w:ascii="Calibri" w:cs="Calibri" w:eastAsia="Calibri" w:hAnsi="Calibri"/>
          <w:b/>
          <w:bCs/>
          <w:color w:val="000000"/>
          <w:sz w:val="22"/>
          <w:szCs w:val="22"/>
        </w:rPr>
        <w:t xml:space="preserve">Sezer, O.B., Gudelek, M.U. and Ozbayoglu, A.M. (2020)</w:t>
      </w:r>
      <w:r>
        <w:rPr>
          <w:rFonts w:ascii="Calibri" w:cs="Calibri" w:eastAsia="Calibri" w:hAnsi="Calibri"/>
          <w:color w:val="000000"/>
          <w:sz w:val="22"/>
          <w:szCs w:val="22"/>
        </w:rPr>
        <w:t xml:space="preserve"> 'Financial time series forecasting with deep learning: A systematic literature review: 2005–2019', </w:t>
      </w:r>
      <w:r>
        <w:rPr>
          <w:rFonts w:ascii="Calibri" w:cs="Calibri" w:eastAsia="Calibri" w:hAnsi="Calibri"/>
          <w:i/>
          <w:iCs/>
          <w:color w:val="595959"/>
          <w:sz w:val="22"/>
          <w:szCs w:val="22"/>
        </w:rPr>
        <w:t xml:space="preserve">Applied Soft Computing</w:t>
      </w:r>
      <w:r>
        <w:rPr>
          <w:rFonts w:ascii="Calibri" w:cs="Calibri" w:eastAsia="Calibri" w:hAnsi="Calibri"/>
          <w:color w:val="000000"/>
          <w:sz w:val="22"/>
          <w:szCs w:val="22"/>
        </w:rPr>
        <w:t xml:space="preserve">, 90, 106181. doi:10.1016/j.asoc.2020.106181.</w:t>
      </w:r>
    </w:p>
    <w:p>
      <w:pPr>
        <w:spacing w:after="80" w:before="80"/>
        <w:jc w:val="both"/>
      </w:pPr>
      <w:r>
        <w:rPr>
          <w:rFonts w:ascii="Calibri" w:cs="Calibri" w:eastAsia="Calibri" w:hAnsi="Calibri"/>
          <w:b/>
          <w:bCs/>
          <w:color w:val="000000"/>
          <w:sz w:val="22"/>
          <w:szCs w:val="22"/>
        </w:rPr>
        <w:t xml:space="preserve">Shalev-Shwartz, S. (2012)</w:t>
      </w:r>
      <w:r>
        <w:rPr>
          <w:rFonts w:ascii="Calibri" w:cs="Calibri" w:eastAsia="Calibri" w:hAnsi="Calibri"/>
          <w:color w:val="000000"/>
          <w:sz w:val="22"/>
          <w:szCs w:val="22"/>
        </w:rPr>
        <w:t xml:space="preserve"> 'Online learning and online convex optimization', </w:t>
      </w:r>
      <w:r>
        <w:rPr>
          <w:rFonts w:ascii="Calibri" w:cs="Calibri" w:eastAsia="Calibri" w:hAnsi="Calibri"/>
          <w:i/>
          <w:iCs/>
          <w:color w:val="595959"/>
          <w:sz w:val="22"/>
          <w:szCs w:val="22"/>
        </w:rPr>
        <w:t xml:space="preserve">Foundations and Trends in Machine Learning</w:t>
      </w:r>
      <w:r>
        <w:rPr>
          <w:rFonts w:ascii="Calibri" w:cs="Calibri" w:eastAsia="Calibri" w:hAnsi="Calibri"/>
          <w:color w:val="000000"/>
          <w:sz w:val="22"/>
          <w:szCs w:val="22"/>
        </w:rPr>
        <w:t xml:space="preserve">, 4(2), pp. 107–194. doi:10.1561/2200000018.</w:t>
      </w:r>
    </w:p>
    <w:p>
      <w:pPr>
        <w:spacing w:after="80" w:before="80"/>
        <w:jc w:val="both"/>
      </w:pPr>
      <w:r>
        <w:rPr>
          <w:rFonts w:ascii="Calibri" w:cs="Calibri" w:eastAsia="Calibri" w:hAnsi="Calibri"/>
          <w:b/>
          <w:bCs/>
          <w:color w:val="000000"/>
          <w:sz w:val="22"/>
          <w:szCs w:val="22"/>
        </w:rPr>
        <w:t xml:space="preserve">Srivastava, N., Hinton, G., Krizhevsky, A., Sutskever, I. and Salakhutdinov, R. (2014)</w:t>
      </w:r>
      <w:r>
        <w:rPr>
          <w:rFonts w:ascii="Calibri" w:cs="Calibri" w:eastAsia="Calibri" w:hAnsi="Calibri"/>
          <w:color w:val="000000"/>
          <w:sz w:val="22"/>
          <w:szCs w:val="22"/>
        </w:rPr>
        <w:t xml:space="preserve"> 'Dropout: A simple way to prevent neural networks from overfitting', </w:t>
      </w:r>
      <w:r>
        <w:rPr>
          <w:rFonts w:ascii="Calibri" w:cs="Calibri" w:eastAsia="Calibri" w:hAnsi="Calibri"/>
          <w:i/>
          <w:iCs/>
          <w:color w:val="595959"/>
          <w:sz w:val="22"/>
          <w:szCs w:val="22"/>
        </w:rPr>
        <w:t xml:space="preserve">Journal of Machine Learning Research</w:t>
      </w:r>
      <w:r>
        <w:rPr>
          <w:rFonts w:ascii="Calibri" w:cs="Calibri" w:eastAsia="Calibri" w:hAnsi="Calibri"/>
          <w:color w:val="000000"/>
          <w:sz w:val="22"/>
          <w:szCs w:val="22"/>
        </w:rPr>
        <w:t xml:space="preserve">, 15(1), pp. 1929–1958.</w:t>
      </w:r>
    </w:p>
    <w:p>
      <w:pPr>
        <w:spacing w:after="80" w:before="80"/>
        <w:jc w:val="both"/>
      </w:pPr>
      <w:r>
        <w:rPr>
          <w:rFonts w:ascii="Calibri" w:cs="Calibri" w:eastAsia="Calibri" w:hAnsi="Calibri"/>
          <w:b/>
          <w:bCs/>
          <w:color w:val="000000"/>
          <w:sz w:val="22"/>
          <w:szCs w:val="22"/>
        </w:rPr>
        <w:t xml:space="preserve">Vaswani, A., Shazeer, N., Parmar, N., Uszkoreit, J., Jones, L., Gomez, A.N., Kaiser, L. and Polosukhin, I. (2017)</w:t>
      </w:r>
      <w:r>
        <w:rPr>
          <w:rFonts w:ascii="Calibri" w:cs="Calibri" w:eastAsia="Calibri" w:hAnsi="Calibri"/>
          <w:color w:val="000000"/>
          <w:sz w:val="22"/>
          <w:szCs w:val="22"/>
        </w:rPr>
        <w:t xml:space="preserve"> 'Attention is all you need', in </w:t>
      </w:r>
      <w:r>
        <w:rPr>
          <w:rFonts w:ascii="Calibri" w:cs="Calibri" w:eastAsia="Calibri" w:hAnsi="Calibri"/>
          <w:i/>
          <w:iCs/>
          <w:color w:val="595959"/>
          <w:sz w:val="22"/>
          <w:szCs w:val="22"/>
        </w:rPr>
        <w:t xml:space="preserve">Advances in Neural Information Processing Systems</w:t>
      </w:r>
      <w:r>
        <w:rPr>
          <w:rFonts w:ascii="Calibri" w:cs="Calibri" w:eastAsia="Calibri" w:hAnsi="Calibri"/>
          <w:color w:val="000000"/>
          <w:sz w:val="22"/>
          <w:szCs w:val="22"/>
        </w:rPr>
        <w:t xml:space="preserve">, 30.</w:t>
      </w:r>
    </w:p>
    <w:p>
      <w:pPr>
        <w:spacing w:after="80" w:before="80"/>
        <w:jc w:val="both"/>
      </w:pPr>
      <w:r>
        <w:rPr>
          <w:rFonts w:ascii="Calibri" w:cs="Calibri" w:eastAsia="Calibri" w:hAnsi="Calibri"/>
          <w:b/>
          <w:bCs/>
          <w:color w:val="000000"/>
          <w:sz w:val="22"/>
          <w:szCs w:val="22"/>
        </w:rPr>
        <w:t xml:space="preserve">Goodfellow, I., Bengio, Y. and Courville, A. (2016)</w:t>
      </w:r>
      <w:r>
        <w:rPr>
          <w:rFonts w:ascii="Calibri" w:cs="Calibri" w:eastAsia="Calibri" w:hAnsi="Calibri"/>
          <w:color w:val="000000"/>
          <w:sz w:val="22"/>
          <w:szCs w:val="22"/>
        </w:rPr>
        <w:t xml:space="preserve"> </w:t>
      </w:r>
      <w:r>
        <w:rPr>
          <w:rFonts w:ascii="Calibri" w:cs="Calibri" w:eastAsia="Calibri" w:hAnsi="Calibri"/>
          <w:i/>
          <w:iCs/>
          <w:color w:val="595959"/>
          <w:sz w:val="22"/>
          <w:szCs w:val="22"/>
        </w:rPr>
        <w:t xml:space="preserve">Deep Learning</w:t>
      </w:r>
      <w:r>
        <w:rPr>
          <w:rFonts w:ascii="Calibri" w:cs="Calibri" w:eastAsia="Calibri" w:hAnsi="Calibri"/>
          <w:color w:val="000000"/>
          <w:sz w:val="22"/>
          <w:szCs w:val="22"/>
        </w:rPr>
        <w:t xml:space="preserve">. Cambridge, MA: MIT Press. Available at: https://www.deeplearningbook.org (Accessed: 12 April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80"/>
    </w:pPr>
    <w:r>
      <w:rPr>
        <w:rFonts w:ascii="Calibri" w:cs="Calibri" w:eastAsia="Calibri" w:hAnsi="Calibri"/>
        <w:color w:val="595959"/>
        <w:sz w:val="16"/>
        <w:szCs w:val="16"/>
      </w:rPr>
      <w:t xml:space="preserve">MSc Artificial Intelligence  |  Dublin Business School</w:t>
    </w:r>
    <w:r>
      <w:rPr>
        <w:rFonts w:ascii="Calibri" w:cs="Calibri" w:eastAsia="Calibri" w:hAnsi="Calibri"/>
        <w:color w:val="595959"/>
        <w:sz w:val="16"/>
        <w:szCs w:val="16"/>
      </w:rPr>
      <w:t xml:space="preserve">	Page </w:t>
    </w:r>
    <w:r>
      <w:rPr>
        <w:rFonts w:ascii="Calibri" w:cs="Calibri" w:eastAsia="Calibri" w:hAnsi="Calibri"/>
        <w:color w:val="595959"/>
        <w:sz w:val="16"/>
        <w:szCs w:val="16"/>
      </w:rPr>
      <w:t xml:space="preserve">	— MSc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60" w:before="0"/>
    </w:pPr>
    <w:r>
      <w:rPr>
        <w:rFonts w:ascii="Calibri" w:cs="Calibri" w:eastAsia="Calibri" w:hAnsi="Calibri"/>
        <w:color w:val="595959"/>
        <w:sz w:val="18"/>
        <w:szCs w:val="18"/>
      </w:rPr>
      <w:t xml:space="preserve">B9AI104 Deep Learning  |  CA02  |  Online Stock Price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pBd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2026-04-21T21:14:52.195Z</dcterms:created>
  <dcterms:modified xsi:type="dcterms:W3CDTF">2026-04-21T21:14:52.196Z</dcterms:modified>
</cp:coreProperties>
</file>

<file path=docProps/custom.xml><?xml version="1.0" encoding="utf-8"?>
<Properties xmlns="http://schemas.openxmlformats.org/officeDocument/2006/custom-properties" xmlns:vt="http://schemas.openxmlformats.org/officeDocument/2006/docPropsVTypes"/>
</file>