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400"/>
        <w:jc w:val="center"/>
      </w:pPr>
      <w:r>
        <w:rPr>
          <w:rFonts w:ascii="Arial" w:cs="Arial" w:eastAsia="Arial" w:hAnsi="Arial"/>
          <w:b/>
          <w:bCs/>
          <w:color w:val="2E4057"/>
          <w:sz w:val="52"/>
          <w:szCs w:val="52"/>
        </w:rPr>
        <w:t xml:space="preserve">University Knowledge Base Chatbot:</w:t>
      </w:r>
    </w:p>
    <w:p>
      <w:pPr>
        <w:spacing w:after="600"/>
        <w:jc w:val="center"/>
      </w:pPr>
      <w:r>
        <w:rPr>
          <w:rFonts w:ascii="Arial" w:cs="Arial" w:eastAsia="Arial" w:hAnsi="Arial"/>
          <w:b/>
          <w:bCs/>
          <w:color w:val="2E4057"/>
          <w:sz w:val="52"/>
          <w:szCs w:val="52"/>
        </w:rPr>
        <w:t xml:space="preserve">A Retrieval-Augmented Generation System</w:t>
      </w:r>
    </w:p>
    <w:p>
      <w:pPr>
        <w:pBdr>
          <w:bottom w:val="single" w:color="2E4057" w:sz="12" w:space="8"/>
        </w:pBdr>
        <w:spacing w:after="400"/>
        <w:jc w:val="center"/>
      </w:pPr>
      <w:r>
        <w:t xml:space="preserve"/>
      </w:r>
    </w:p>
    <w:p>
      <w:pPr>
        <w:spacing w:after="0"/>
      </w:pPr>
      <w:r>
        <w:t xml:space="preserve"/>
      </w:r>
    </w:p>
    <w:p>
      <w:pPr>
        <w:spacing w:after="80"/>
        <w:jc w:val="center"/>
      </w:pPr>
      <w:r>
        <w:rPr>
          <w:rFonts w:ascii="Arial" w:cs="Arial" w:eastAsia="Arial" w:hAnsi="Arial"/>
          <w:b/>
          <w:bCs/>
          <w:color w:val="2E4057"/>
          <w:sz w:val="28"/>
          <w:szCs w:val="28"/>
        </w:rPr>
        <w:t xml:space="preserve">Module: </w:t>
      </w:r>
      <w:r>
        <w:rPr>
          <w:rFonts w:ascii="Arial" w:cs="Arial" w:eastAsia="Arial" w:hAnsi="Arial"/>
          <w:color w:val="333333"/>
          <w:sz w:val="28"/>
          <w:szCs w:val="28"/>
        </w:rPr>
        <w:t xml:space="preserve">NLP Module B9AI006 | MSc Artificial Intelligence</w:t>
      </w:r>
    </w:p>
    <w:p>
      <w:pPr>
        <w:spacing w:after="0"/>
      </w:pPr>
      <w:r>
        <w:t xml:space="preserve"/>
      </w:r>
    </w:p>
    <w:p>
      <w:pPr>
        <w:spacing w:after="80"/>
        <w:jc w:val="center"/>
      </w:pPr>
      <w:r>
        <w:rPr>
          <w:rFonts w:ascii="Arial" w:cs="Arial" w:eastAsia="Arial" w:hAnsi="Arial"/>
          <w:b/>
          <w:bCs/>
          <w:color w:val="2E4057"/>
          <w:sz w:val="28"/>
          <w:szCs w:val="28"/>
        </w:rPr>
        <w:t xml:space="preserve">Institution: </w:t>
      </w:r>
      <w:r>
        <w:rPr>
          <w:rFonts w:ascii="Arial" w:cs="Arial" w:eastAsia="Arial" w:hAnsi="Arial"/>
          <w:color w:val="333333"/>
          <w:sz w:val="28"/>
          <w:szCs w:val="28"/>
        </w:rPr>
        <w:t xml:space="preserve">Dublin Business School</w:t>
      </w:r>
    </w:p>
    <w:p>
      <w:pPr>
        <w:spacing w:after="0"/>
      </w:pPr>
      <w:r>
        <w:t xml:space="preserve"/>
      </w:r>
    </w:p>
    <w:p>
      <w:pPr>
        <w:spacing w:after="80"/>
        <w:jc w:val="center"/>
      </w:pPr>
      <w:r>
        <w:rPr>
          <w:rFonts w:ascii="Arial" w:cs="Arial" w:eastAsia="Arial" w:hAnsi="Arial"/>
          <w:b/>
          <w:bCs/>
          <w:color w:val="2E4057"/>
          <w:sz w:val="28"/>
          <w:szCs w:val="28"/>
        </w:rPr>
        <w:t xml:space="preserve">Assessment: </w:t>
      </w:r>
      <w:r>
        <w:rPr>
          <w:rFonts w:ascii="Arial" w:cs="Arial" w:eastAsia="Arial" w:hAnsi="Arial"/>
          <w:color w:val="333333"/>
          <w:sz w:val="28"/>
          <w:szCs w:val="28"/>
        </w:rPr>
        <w:t xml:space="preserve">CA2 Individual Report</w:t>
      </w:r>
    </w:p>
    <w:p>
      <w:pPr>
        <w:spacing w:after="0"/>
      </w:pPr>
      <w:r>
        <w:t xml:space="preserve"/>
      </w:r>
    </w:p>
    <w:p>
      <w:pPr>
        <w:spacing w:after="80"/>
        <w:jc w:val="center"/>
      </w:pPr>
      <w:r>
        <w:rPr>
          <w:rFonts w:ascii="Arial" w:cs="Arial" w:eastAsia="Arial" w:hAnsi="Arial"/>
          <w:b/>
          <w:bCs/>
          <w:color w:val="2E4057"/>
          <w:sz w:val="28"/>
          <w:szCs w:val="28"/>
        </w:rPr>
        <w:t xml:space="preserve">Date: </w:t>
      </w:r>
      <w:r>
        <w:rPr>
          <w:rFonts w:ascii="Arial" w:cs="Arial" w:eastAsia="Arial" w:hAnsi="Arial"/>
          <w:color w:val="333333"/>
          <w:sz w:val="28"/>
          <w:szCs w:val="28"/>
        </w:rPr>
        <w:t xml:space="preserve">April 2026</w:t>
      </w:r>
    </w:p>
    <w:p>
      <w:pPr>
        <w:spacing w:after="0"/>
      </w:pPr>
      <w:r>
        <w:t xml:space="preserve"/>
      </w:r>
    </w:p>
    <w:p>
      <w:pPr>
        <w:spacing w:after="0"/>
      </w:pPr>
      <w:r>
        <w:t xml:space="preserve"/>
      </w:r>
    </w:p>
    <w:p>
      <w:pPr>
        <w:spacing w:after="0"/>
      </w:pPr>
      <w:r>
        <w:t xml:space="preserve"/>
      </w:r>
    </w:p>
    <w:p>
      <w:pPr>
        <w:spacing w:after="0"/>
      </w:pPr>
      <w:r>
        <w:t xml:space="preserve"/>
      </w:r>
    </w:p>
    <w:p>
      <w:pPr>
        <w:spacing w:after="0"/>
        <w:jc w:val="center"/>
      </w:pPr>
      <w:r>
        <w:rPr>
          <w:rFonts w:ascii="Arial" w:cs="Arial" w:eastAsia="Arial" w:hAnsi="Arial"/>
          <w:i/>
          <w:iCs/>
          <w:color w:val="666666"/>
          <w:sz w:val="20"/>
          <w:szCs w:val="20"/>
        </w:rPr>
        <w:t xml:space="preserve">Dublin Business School</w:t>
      </w:r>
    </w:p>
    <w:p>
      <w:pPr>
        <w:spacing w:after="0"/>
        <w:jc w:val="center"/>
      </w:pPr>
      <w:r>
        <w:rPr>
          <w:rFonts w:ascii="Arial" w:cs="Arial" w:eastAsia="Arial" w:hAnsi="Arial"/>
          <w:i/>
          <w:iCs/>
          <w:color w:val="666666"/>
          <w:sz w:val="20"/>
          <w:szCs w:val="20"/>
        </w:rPr>
        <w:t xml:space="preserve">MSc Artificial Intelligence | NLP Module B9AI006</w:t>
      </w:r>
    </w:p>
    <w:p>
      <w:r>
        <w:br w:type="page"/>
      </w:r>
    </w:p>
    <w:p>
      <w:pPr>
        <w:pStyle w:val="Heading1"/>
        <w:spacing w:after="160" w:before="360"/>
      </w:pPr>
      <w:r>
        <w:rPr>
          <w:rFonts w:ascii="Arial" w:cs="Arial" w:eastAsia="Arial" w:hAnsi="Arial"/>
          <w:b/>
          <w:bCs/>
          <w:sz w:val="32"/>
          <w:szCs w:val="32"/>
        </w:rPr>
        <w:t xml:space="preserve">Table of Contents</w:t>
      </w:r>
    </w:p>
    <w:p>
      <w:pPr>
        <w:spacing w:after="0"/>
      </w:pPr>
      <w:r>
        <w:t xml:space="preserve"/>
      </w:r>
    </w:p>
    <w:p>
      <w:pPr>
        <w:tabs>
          <w:tab w:val="right" w:pos="9026"/>
        </w:tabs>
        <w:spacing w:after="80"/>
      </w:pPr>
      <w:r>
        <w:rPr>
          <w:rFonts w:ascii="Arial" w:cs="Arial" w:eastAsia="Arial" w:hAnsi="Arial"/>
          <w:sz w:val="22"/>
          <w:szCs w:val="22"/>
        </w:rPr>
        <w:t xml:space="preserve">1. Introduction</w:t>
      </w:r>
      <w:r>
        <w:rPr>
          <w:rFonts w:ascii="Arial" w:cs="Arial" w:eastAsia="Arial" w:hAnsi="Arial"/>
          <w:sz w:val="22"/>
          <w:szCs w:val="22"/>
        </w:rPr>
        <w:t xml:space="preserve">	3</w:t>
      </w:r>
    </w:p>
    <w:p>
      <w:pPr>
        <w:tabs>
          <w:tab w:val="right" w:pos="9026"/>
        </w:tabs>
        <w:spacing w:after="80"/>
      </w:pPr>
      <w:r>
        <w:rPr>
          <w:rFonts w:ascii="Arial" w:cs="Arial" w:eastAsia="Arial" w:hAnsi="Arial"/>
          <w:sz w:val="22"/>
          <w:szCs w:val="22"/>
        </w:rPr>
        <w:t xml:space="preserve">2. Task 2a – AI Principles: Ethics, Bias, Fairness, Explainability and Interpretability</w:t>
      </w:r>
      <w:r>
        <w:rPr>
          <w:rFonts w:ascii="Arial" w:cs="Arial" w:eastAsia="Arial" w:hAnsi="Arial"/>
          <w:sz w:val="22"/>
          <w:szCs w:val="22"/>
        </w:rPr>
        <w:t xml:space="preserve">	3</w:t>
      </w:r>
    </w:p>
    <w:p>
      <w:pPr>
        <w:tabs>
          <w:tab w:val="right" w:pos="9026"/>
        </w:tabs>
        <w:spacing w:after="80"/>
      </w:pPr>
      <w:r>
        <w:rPr>
          <w:rFonts w:ascii="Arial" w:cs="Arial" w:eastAsia="Arial" w:hAnsi="Arial"/>
          <w:sz w:val="22"/>
          <w:szCs w:val="22"/>
        </w:rPr>
        <w:t xml:space="preserve">    2.1 Ethics</w:t>
      </w:r>
      <w:r>
        <w:rPr>
          <w:rFonts w:ascii="Arial" w:cs="Arial" w:eastAsia="Arial" w:hAnsi="Arial"/>
          <w:sz w:val="22"/>
          <w:szCs w:val="22"/>
        </w:rPr>
        <w:t xml:space="preserve">	3</w:t>
      </w:r>
    </w:p>
    <w:p>
      <w:pPr>
        <w:tabs>
          <w:tab w:val="right" w:pos="9026"/>
        </w:tabs>
        <w:spacing w:after="80"/>
      </w:pPr>
      <w:r>
        <w:rPr>
          <w:rFonts w:ascii="Arial" w:cs="Arial" w:eastAsia="Arial" w:hAnsi="Arial"/>
          <w:sz w:val="22"/>
          <w:szCs w:val="22"/>
        </w:rPr>
        <w:t xml:space="preserve">    2.2 Bias</w:t>
      </w:r>
      <w:r>
        <w:rPr>
          <w:rFonts w:ascii="Arial" w:cs="Arial" w:eastAsia="Arial" w:hAnsi="Arial"/>
          <w:sz w:val="22"/>
          <w:szCs w:val="22"/>
        </w:rPr>
        <w:t xml:space="preserve">	4</w:t>
      </w:r>
    </w:p>
    <w:p>
      <w:pPr>
        <w:tabs>
          <w:tab w:val="right" w:pos="9026"/>
        </w:tabs>
        <w:spacing w:after="80"/>
      </w:pPr>
      <w:r>
        <w:rPr>
          <w:rFonts w:ascii="Arial" w:cs="Arial" w:eastAsia="Arial" w:hAnsi="Arial"/>
          <w:sz w:val="22"/>
          <w:szCs w:val="22"/>
        </w:rPr>
        <w:t xml:space="preserve">        2.2.1 Document Bias</w:t>
      </w:r>
      <w:r>
        <w:rPr>
          <w:rFonts w:ascii="Arial" w:cs="Arial" w:eastAsia="Arial" w:hAnsi="Arial"/>
          <w:sz w:val="22"/>
          <w:szCs w:val="22"/>
        </w:rPr>
        <w:t xml:space="preserve">	4</w:t>
      </w:r>
    </w:p>
    <w:p>
      <w:pPr>
        <w:tabs>
          <w:tab w:val="right" w:pos="9026"/>
        </w:tabs>
        <w:spacing w:after="80"/>
      </w:pPr>
      <w:r>
        <w:rPr>
          <w:rFonts w:ascii="Arial" w:cs="Arial" w:eastAsia="Arial" w:hAnsi="Arial"/>
          <w:sz w:val="22"/>
          <w:szCs w:val="22"/>
        </w:rPr>
        <w:t xml:space="preserve">        2.2.2 Embedding Bias</w:t>
      </w:r>
      <w:r>
        <w:rPr>
          <w:rFonts w:ascii="Arial" w:cs="Arial" w:eastAsia="Arial" w:hAnsi="Arial"/>
          <w:sz w:val="22"/>
          <w:szCs w:val="22"/>
        </w:rPr>
        <w:t xml:space="preserve">	4</w:t>
      </w:r>
    </w:p>
    <w:p>
      <w:pPr>
        <w:tabs>
          <w:tab w:val="right" w:pos="9026"/>
        </w:tabs>
        <w:spacing w:after="80"/>
      </w:pPr>
      <w:r>
        <w:rPr>
          <w:rFonts w:ascii="Arial" w:cs="Arial" w:eastAsia="Arial" w:hAnsi="Arial"/>
          <w:sz w:val="22"/>
          <w:szCs w:val="22"/>
        </w:rPr>
        <w:t xml:space="preserve">    2.3 Fairness</w:t>
      </w:r>
      <w:r>
        <w:rPr>
          <w:rFonts w:ascii="Arial" w:cs="Arial" w:eastAsia="Arial" w:hAnsi="Arial"/>
          <w:sz w:val="22"/>
          <w:szCs w:val="22"/>
        </w:rPr>
        <w:t xml:space="preserve">	4</w:t>
      </w:r>
    </w:p>
    <w:p>
      <w:pPr>
        <w:tabs>
          <w:tab w:val="right" w:pos="9026"/>
        </w:tabs>
        <w:spacing w:after="80"/>
      </w:pPr>
      <w:r>
        <w:rPr>
          <w:rFonts w:ascii="Arial" w:cs="Arial" w:eastAsia="Arial" w:hAnsi="Arial"/>
          <w:sz w:val="22"/>
          <w:szCs w:val="22"/>
        </w:rPr>
        <w:t xml:space="preserve">    2.4 Explainability</w:t>
      </w:r>
      <w:r>
        <w:rPr>
          <w:rFonts w:ascii="Arial" w:cs="Arial" w:eastAsia="Arial" w:hAnsi="Arial"/>
          <w:sz w:val="22"/>
          <w:szCs w:val="22"/>
        </w:rPr>
        <w:t xml:space="preserve">	5</w:t>
      </w:r>
    </w:p>
    <w:p>
      <w:pPr>
        <w:tabs>
          <w:tab w:val="right" w:pos="9026"/>
        </w:tabs>
        <w:spacing w:after="80"/>
      </w:pPr>
      <w:r>
        <w:rPr>
          <w:rFonts w:ascii="Arial" w:cs="Arial" w:eastAsia="Arial" w:hAnsi="Arial"/>
          <w:sz w:val="22"/>
          <w:szCs w:val="22"/>
        </w:rPr>
        <w:t xml:space="preserve">    2.5 Interpretability</w:t>
      </w:r>
      <w:r>
        <w:rPr>
          <w:rFonts w:ascii="Arial" w:cs="Arial" w:eastAsia="Arial" w:hAnsi="Arial"/>
          <w:sz w:val="22"/>
          <w:szCs w:val="22"/>
        </w:rPr>
        <w:t xml:space="preserve">	5</w:t>
      </w:r>
    </w:p>
    <w:p>
      <w:pPr>
        <w:tabs>
          <w:tab w:val="right" w:pos="9026"/>
        </w:tabs>
        <w:spacing w:after="80"/>
      </w:pPr>
      <w:r>
        <w:rPr>
          <w:rFonts w:ascii="Arial" w:cs="Arial" w:eastAsia="Arial" w:hAnsi="Arial"/>
          <w:sz w:val="22"/>
          <w:szCs w:val="22"/>
        </w:rPr>
        <w:t xml:space="preserve">3. Task 2b – Critique of Modelling Techniques and Libraries Used</w:t>
      </w:r>
      <w:r>
        <w:rPr>
          <w:rFonts w:ascii="Arial" w:cs="Arial" w:eastAsia="Arial" w:hAnsi="Arial"/>
          <w:sz w:val="22"/>
          <w:szCs w:val="22"/>
        </w:rPr>
        <w:t xml:space="preserve">	5</w:t>
      </w:r>
    </w:p>
    <w:p>
      <w:pPr>
        <w:tabs>
          <w:tab w:val="right" w:pos="9026"/>
        </w:tabs>
        <w:spacing w:after="80"/>
      </w:pPr>
      <w:r>
        <w:rPr>
          <w:rFonts w:ascii="Arial" w:cs="Arial" w:eastAsia="Arial" w:hAnsi="Arial"/>
          <w:sz w:val="22"/>
          <w:szCs w:val="22"/>
        </w:rPr>
        <w:t xml:space="preserve">    3.1 LangChain</w:t>
      </w:r>
      <w:r>
        <w:rPr>
          <w:rFonts w:ascii="Arial" w:cs="Arial" w:eastAsia="Arial" w:hAnsi="Arial"/>
          <w:sz w:val="22"/>
          <w:szCs w:val="22"/>
        </w:rPr>
        <w:t xml:space="preserve">	5</w:t>
      </w:r>
    </w:p>
    <w:p>
      <w:pPr>
        <w:tabs>
          <w:tab w:val="right" w:pos="9026"/>
        </w:tabs>
        <w:spacing w:after="80"/>
      </w:pPr>
      <w:r>
        <w:rPr>
          <w:rFonts w:ascii="Arial" w:cs="Arial" w:eastAsia="Arial" w:hAnsi="Arial"/>
          <w:sz w:val="22"/>
          <w:szCs w:val="22"/>
        </w:rPr>
        <w:t xml:space="preserve">    3.2 FAISS (Facebook AI Similarity Search)</w:t>
      </w:r>
      <w:r>
        <w:rPr>
          <w:rFonts w:ascii="Arial" w:cs="Arial" w:eastAsia="Arial" w:hAnsi="Arial"/>
          <w:sz w:val="22"/>
          <w:szCs w:val="22"/>
        </w:rPr>
        <w:t xml:space="preserve">	6</w:t>
      </w:r>
    </w:p>
    <w:p>
      <w:pPr>
        <w:tabs>
          <w:tab w:val="right" w:pos="9026"/>
        </w:tabs>
        <w:spacing w:after="80"/>
      </w:pPr>
      <w:r>
        <w:rPr>
          <w:rFonts w:ascii="Arial" w:cs="Arial" w:eastAsia="Arial" w:hAnsi="Arial"/>
          <w:sz w:val="22"/>
          <w:szCs w:val="22"/>
        </w:rPr>
        <w:t xml:space="preserve">    3.3 HuggingFace Embeddings (all-MiniLM-L6-v2)</w:t>
      </w:r>
      <w:r>
        <w:rPr>
          <w:rFonts w:ascii="Arial" w:cs="Arial" w:eastAsia="Arial" w:hAnsi="Arial"/>
          <w:sz w:val="22"/>
          <w:szCs w:val="22"/>
        </w:rPr>
        <w:t xml:space="preserve">	6</w:t>
      </w:r>
    </w:p>
    <w:p>
      <w:pPr>
        <w:tabs>
          <w:tab w:val="right" w:pos="9026"/>
        </w:tabs>
        <w:spacing w:after="80"/>
      </w:pPr>
      <w:r>
        <w:rPr>
          <w:rFonts w:ascii="Arial" w:cs="Arial" w:eastAsia="Arial" w:hAnsi="Arial"/>
          <w:sz w:val="22"/>
          <w:szCs w:val="22"/>
        </w:rPr>
        <w:t xml:space="preserve">    3.4 Cross-Encoder Reranker (ms-marco-MiniLM-L-6-v2)</w:t>
      </w:r>
      <w:r>
        <w:rPr>
          <w:rFonts w:ascii="Arial" w:cs="Arial" w:eastAsia="Arial" w:hAnsi="Arial"/>
          <w:sz w:val="22"/>
          <w:szCs w:val="22"/>
        </w:rPr>
        <w:t xml:space="preserve">	7</w:t>
      </w:r>
    </w:p>
    <w:p>
      <w:pPr>
        <w:tabs>
          <w:tab w:val="right" w:pos="9026"/>
        </w:tabs>
        <w:spacing w:after="80"/>
      </w:pPr>
      <w:r>
        <w:rPr>
          <w:rFonts w:ascii="Arial" w:cs="Arial" w:eastAsia="Arial" w:hAnsi="Arial"/>
          <w:sz w:val="22"/>
          <w:szCs w:val="22"/>
        </w:rPr>
        <w:t xml:space="preserve">    3.5 RecursiveCharacterTextSplitter</w:t>
      </w:r>
      <w:r>
        <w:rPr>
          <w:rFonts w:ascii="Arial" w:cs="Arial" w:eastAsia="Arial" w:hAnsi="Arial"/>
          <w:sz w:val="22"/>
          <w:szCs w:val="22"/>
        </w:rPr>
        <w:t xml:space="preserve">	7</w:t>
      </w:r>
    </w:p>
    <w:p>
      <w:pPr>
        <w:tabs>
          <w:tab w:val="right" w:pos="9026"/>
        </w:tabs>
        <w:spacing w:after="80"/>
      </w:pPr>
      <w:r>
        <w:rPr>
          <w:rFonts w:ascii="Arial" w:cs="Arial" w:eastAsia="Arial" w:hAnsi="Arial"/>
          <w:sz w:val="22"/>
          <w:szCs w:val="22"/>
        </w:rPr>
        <w:t xml:space="preserve">    3.6 Anthropic Claude 3 Haiku</w:t>
      </w:r>
      <w:r>
        <w:rPr>
          <w:rFonts w:ascii="Arial" w:cs="Arial" w:eastAsia="Arial" w:hAnsi="Arial"/>
          <w:sz w:val="22"/>
          <w:szCs w:val="22"/>
        </w:rPr>
        <w:t xml:space="preserve">	8</w:t>
      </w:r>
    </w:p>
    <w:p>
      <w:pPr>
        <w:tabs>
          <w:tab w:val="right" w:pos="9026"/>
        </w:tabs>
        <w:spacing w:after="80"/>
      </w:pPr>
      <w:r>
        <w:rPr>
          <w:rFonts w:ascii="Arial" w:cs="Arial" w:eastAsia="Arial" w:hAnsi="Arial"/>
          <w:sz w:val="22"/>
          <w:szCs w:val="22"/>
        </w:rPr>
        <w:t xml:space="preserve">    3.7 Design Trade-offs Table</w:t>
      </w:r>
      <w:r>
        <w:rPr>
          <w:rFonts w:ascii="Arial" w:cs="Arial" w:eastAsia="Arial" w:hAnsi="Arial"/>
          <w:sz w:val="22"/>
          <w:szCs w:val="22"/>
        </w:rPr>
        <w:t xml:space="preserve">	8</w:t>
      </w:r>
    </w:p>
    <w:p>
      <w:pPr>
        <w:tabs>
          <w:tab w:val="right" w:pos="9026"/>
        </w:tabs>
        <w:spacing w:after="80"/>
      </w:pPr>
      <w:r>
        <w:rPr>
          <w:rFonts w:ascii="Arial" w:cs="Arial" w:eastAsia="Arial" w:hAnsi="Arial"/>
          <w:sz w:val="22"/>
          <w:szCs w:val="22"/>
        </w:rPr>
        <w:t xml:space="preserve">4. Task 2c – Performance Evaluation of Results</w:t>
      </w:r>
      <w:r>
        <w:rPr>
          <w:rFonts w:ascii="Arial" w:cs="Arial" w:eastAsia="Arial" w:hAnsi="Arial"/>
          <w:sz w:val="22"/>
          <w:szCs w:val="22"/>
        </w:rPr>
        <w:t xml:space="preserve">	9</w:t>
      </w:r>
    </w:p>
    <w:p>
      <w:pPr>
        <w:tabs>
          <w:tab w:val="right" w:pos="9026"/>
        </w:tabs>
        <w:spacing w:after="80"/>
      </w:pPr>
      <w:r>
        <w:rPr>
          <w:rFonts w:ascii="Arial" w:cs="Arial" w:eastAsia="Arial" w:hAnsi="Arial"/>
          <w:sz w:val="22"/>
          <w:szCs w:val="22"/>
        </w:rPr>
        <w:t xml:space="preserve">    4.1 Evaluation Methodology</w:t>
      </w:r>
      <w:r>
        <w:rPr>
          <w:rFonts w:ascii="Arial" w:cs="Arial" w:eastAsia="Arial" w:hAnsi="Arial"/>
          <w:sz w:val="22"/>
          <w:szCs w:val="22"/>
        </w:rPr>
        <w:t xml:space="preserve">	9</w:t>
      </w:r>
    </w:p>
    <w:p>
      <w:pPr>
        <w:tabs>
          <w:tab w:val="right" w:pos="9026"/>
        </w:tabs>
        <w:spacing w:after="80"/>
      </w:pPr>
      <w:r>
        <w:rPr>
          <w:rFonts w:ascii="Arial" w:cs="Arial" w:eastAsia="Arial" w:hAnsi="Arial"/>
          <w:sz w:val="22"/>
          <w:szCs w:val="22"/>
        </w:rPr>
        <w:t xml:space="preserve">    4.2 Evaluation Results</w:t>
      </w:r>
      <w:r>
        <w:rPr>
          <w:rFonts w:ascii="Arial" w:cs="Arial" w:eastAsia="Arial" w:hAnsi="Arial"/>
          <w:sz w:val="22"/>
          <w:szCs w:val="22"/>
        </w:rPr>
        <w:t xml:space="preserve">	10</w:t>
      </w:r>
    </w:p>
    <w:p>
      <w:pPr>
        <w:tabs>
          <w:tab w:val="right" w:pos="9026"/>
        </w:tabs>
        <w:spacing w:after="80"/>
      </w:pPr>
      <w:r>
        <w:rPr>
          <w:rFonts w:ascii="Arial" w:cs="Arial" w:eastAsia="Arial" w:hAnsi="Arial"/>
          <w:sz w:val="22"/>
          <w:szCs w:val="22"/>
        </w:rPr>
        <w:t xml:space="preserve">    4.3 Key Finding: Reranker Impact on Subject-Specific Retrieval</w:t>
      </w:r>
      <w:r>
        <w:rPr>
          <w:rFonts w:ascii="Arial" w:cs="Arial" w:eastAsia="Arial" w:hAnsi="Arial"/>
          <w:sz w:val="22"/>
          <w:szCs w:val="22"/>
        </w:rPr>
        <w:t xml:space="preserve">	10</w:t>
      </w:r>
    </w:p>
    <w:p>
      <w:pPr>
        <w:tabs>
          <w:tab w:val="right" w:pos="9026"/>
        </w:tabs>
        <w:spacing w:after="80"/>
      </w:pPr>
      <w:r>
        <w:rPr>
          <w:rFonts w:ascii="Arial" w:cs="Arial" w:eastAsia="Arial" w:hAnsi="Arial"/>
          <w:sz w:val="22"/>
          <w:szCs w:val="22"/>
        </w:rPr>
        <w:t xml:space="preserve">    4.4 Limitations and Recommendations</w:t>
      </w:r>
      <w:r>
        <w:rPr>
          <w:rFonts w:ascii="Arial" w:cs="Arial" w:eastAsia="Arial" w:hAnsi="Arial"/>
          <w:sz w:val="22"/>
          <w:szCs w:val="22"/>
        </w:rPr>
        <w:t xml:space="preserve">	11</w:t>
      </w:r>
    </w:p>
    <w:p>
      <w:pPr>
        <w:tabs>
          <w:tab w:val="right" w:pos="9026"/>
        </w:tabs>
        <w:spacing w:after="80"/>
      </w:pPr>
      <w:r>
        <w:rPr>
          <w:rFonts w:ascii="Arial" w:cs="Arial" w:eastAsia="Arial" w:hAnsi="Arial"/>
          <w:sz w:val="22"/>
          <w:szCs w:val="22"/>
        </w:rPr>
        <w:t xml:space="preserve">5. Conclusion</w:t>
      </w:r>
      <w:r>
        <w:rPr>
          <w:rFonts w:ascii="Arial" w:cs="Arial" w:eastAsia="Arial" w:hAnsi="Arial"/>
          <w:sz w:val="22"/>
          <w:szCs w:val="22"/>
        </w:rPr>
        <w:t xml:space="preserve">	12</w:t>
      </w:r>
    </w:p>
    <w:p>
      <w:pPr>
        <w:tabs>
          <w:tab w:val="right" w:pos="9026"/>
        </w:tabs>
        <w:spacing w:after="80"/>
      </w:pPr>
      <w:r>
        <w:rPr>
          <w:rFonts w:ascii="Arial" w:cs="Arial" w:eastAsia="Arial" w:hAnsi="Arial"/>
          <w:sz w:val="22"/>
          <w:szCs w:val="22"/>
        </w:rPr>
        <w:t xml:space="preserve">6. References</w:t>
      </w:r>
      <w:r>
        <w:rPr>
          <w:rFonts w:ascii="Arial" w:cs="Arial" w:eastAsia="Arial" w:hAnsi="Arial"/>
          <w:sz w:val="22"/>
          <w:szCs w:val="22"/>
        </w:rPr>
        <w:t xml:space="preserve">	12</w:t>
      </w:r>
    </w:p>
    <w:p>
      <w:r>
        <w:br w:type="page"/>
      </w:r>
    </w:p>
    <w:p>
      <w:pPr>
        <w:pStyle w:val="Heading1"/>
        <w:spacing w:after="160" w:before="360"/>
      </w:pPr>
      <w:r>
        <w:rPr>
          <w:rFonts w:ascii="Arial" w:cs="Arial" w:eastAsia="Arial" w:hAnsi="Arial"/>
          <w:b/>
          <w:bCs/>
          <w:sz w:val="32"/>
          <w:szCs w:val="32"/>
        </w:rPr>
        <w:t xml:space="preserve">1. Introduction</w:t>
      </w:r>
    </w:p>
    <w:p>
      <w:pPr>
        <w:spacing w:after="160" w:line="276"/>
        <w:jc w:val="both"/>
      </w:pPr>
      <w:r>
        <w:rPr>
          <w:rFonts w:ascii="Arial" w:cs="Arial" w:eastAsia="Arial" w:hAnsi="Arial"/>
          <w:sz w:val="24"/>
          <w:szCs w:val="24"/>
        </w:rPr>
        <w:t xml:space="preserve">RAG systems combine a retrieval component with a generative language model, addressing a fundamental limitation of standalone LLMs: the inability to access institution-specific, up-to-date knowledge not present in pre-training data. For a university knowledge base, this is particularly valuable: students query time-sensitive information such as submission deadlines, assessment penalties, and module requirements that are specific to each academic year and cannot be reliably answered by a general-purpose LLM.</w:t>
      </w:r>
    </w:p>
    <w:p>
      <w:pPr>
        <w:spacing w:after="0"/>
      </w:pPr>
      <w:r>
        <w:t xml:space="preserve"/>
      </w:r>
    </w:p>
    <w:p>
      <w:pPr>
        <w:spacing w:after="160" w:line="276"/>
        <w:jc w:val="both"/>
      </w:pPr>
      <w:r>
        <w:rPr>
          <w:rFonts w:ascii="Arial" w:cs="Arial" w:eastAsia="Arial" w:hAnsi="Arial"/>
          <w:sz w:val="24"/>
          <w:szCs w:val="24"/>
        </w:rPr>
        <w:t xml:space="preserve">The system architecture follows a pipeline from source documents through to a grounded answer: PDF and DOCX documents are loaded using LangChain document loaders and split into overlapping chunks using RecursiveCharacterTextSplitter (chunk_size=800, overlap=80). Each chunk is embedded using HuggingFace’s all-MiniLM-L6-v2 model (22MB, CPU-local, no API key required) and stored in a FAISS vector index. At query time, the user’s question is embedded and the bi-encoder retrieves fetch_k=15 candidate chunks by cosine similarity. A cross-encoder reranker (ms-marco-MiniLM-L-6-v2) then scores each (query, chunk) pair jointly, reranking and selecting the top_k=5 most relevant chunks. These chunks, along with their source metadata, are injected into a structured prompt sent to Anthropic Claude 3 Haiku (temperature=0.0), which generates a grounded answer constrained to the provided context.</w:t>
      </w:r>
    </w:p>
    <w:p>
      <w:pPr>
        <w:spacing w:after="0"/>
      </w:pPr>
      <w:r>
        <w:t xml:space="preserve"/>
      </w:r>
    </w:p>
    <w:p>
      <w:pPr>
        <w:pStyle w:val="Heading1"/>
        <w:spacing w:after="160" w:before="360"/>
      </w:pPr>
      <w:r>
        <w:rPr>
          <w:rFonts w:ascii="Arial" w:cs="Arial" w:eastAsia="Arial" w:hAnsi="Arial"/>
          <w:b/>
          <w:bCs/>
          <w:sz w:val="32"/>
          <w:szCs w:val="32"/>
        </w:rPr>
        <w:t xml:space="preserve">2. Task 2a – AI Principles: Ethics, Bias, Fairness, Explainability and Interpretability</w:t>
      </w:r>
    </w:p>
    <w:p>
      <w:pPr>
        <w:spacing w:after="160"/>
      </w:pPr>
      <w:r>
        <w:rPr>
          <w:rFonts w:ascii="Arial" w:cs="Arial" w:eastAsia="Arial" w:hAnsi="Arial"/>
          <w:i/>
          <w:iCs/>
          <w:color w:val="555555"/>
          <w:sz w:val="22"/>
          <w:szCs w:val="22"/>
        </w:rPr>
        <w:t xml:space="preserve">Criterion 002 – 20 marks</w:t>
      </w:r>
    </w:p>
    <w:p>
      <w:pPr>
        <w:pStyle w:val="Heading2"/>
        <w:spacing w:after="120" w:before="280"/>
      </w:pPr>
      <w:r>
        <w:rPr>
          <w:rFonts w:ascii="Arial" w:cs="Arial" w:eastAsia="Arial" w:hAnsi="Arial"/>
          <w:b/>
          <w:bCs/>
          <w:sz w:val="28"/>
          <w:szCs w:val="28"/>
        </w:rPr>
        <w:t xml:space="preserve">2.1 Ethics</w:t>
      </w:r>
    </w:p>
    <w:p>
      <w:pPr>
        <w:spacing w:after="160" w:line="276"/>
        <w:jc w:val="both"/>
      </w:pPr>
      <w:r>
        <w:rPr>
          <w:rFonts w:ascii="Arial" w:cs="Arial" w:eastAsia="Arial" w:hAnsi="Arial"/>
          <w:sz w:val="24"/>
          <w:szCs w:val="24"/>
        </w:rPr>
        <w:t xml:space="preserve">The deployment of a RAG-based chatbot in a university context raises important ethical considerations. The system processes student queries and returns answers derived from institutional documents. If those source documents contain outdated, incomplete, or institutionally biased information — for example, policies that may disadvantage certain student groups — the chatbot will faithfully reproduce those biases, potentially at scale. Ethical deployment requires regular auditing of source documents and a clear disclosure to users that the chatbot is an automated system, not an authoritative university advisor.</w:t>
      </w:r>
    </w:p>
    <w:p>
      <w:pPr>
        <w:spacing w:after="0"/>
      </w:pPr>
      <w:r>
        <w:t xml:space="preserve"/>
      </w:r>
    </w:p>
    <w:p>
      <w:pPr>
        <w:spacing w:after="160" w:line="276"/>
        <w:jc w:val="both"/>
      </w:pPr>
      <w:r>
        <w:rPr>
          <w:rFonts w:ascii="Arial" w:cs="Arial" w:eastAsia="Arial" w:hAnsi="Arial"/>
          <w:sz w:val="24"/>
          <w:szCs w:val="24"/>
        </w:rPr>
        <w:t xml:space="preserve">Transparency is a core ethical principle. Unlike a black-box LLM, RAG partially addresses the transparency requirement by surfacing the exact source chunks used to generate each answer. This means a student can inspect the reasoning pathway — which document, which page — rather than simply receiving an answer they cannot verify. The system prompt explicitly instructs the LLM: “Answer the student’s question using ONLY the information in the context below” and “Do NOT invent or assume any information beyond what is given,” which constitutes a technical implementation of the transparency principle. Institutional responsibility requires that the university, not merely the technology provider, bears accountability for the accuracy of chatbot responses. Source documents must be version-controlled and reviewed before ingestion.</w:t>
      </w:r>
    </w:p>
    <w:p>
      <w:pPr>
        <w:pStyle w:val="Heading2"/>
        <w:spacing w:after="120" w:before="280"/>
      </w:pPr>
      <w:r>
        <w:rPr>
          <w:rFonts w:ascii="Arial" w:cs="Arial" w:eastAsia="Arial" w:hAnsi="Arial"/>
          <w:b/>
          <w:bCs/>
          <w:sz w:val="28"/>
          <w:szCs w:val="28"/>
        </w:rPr>
        <w:t xml:space="preserve">2.2 Bias</w:t>
      </w:r>
    </w:p>
    <w:p>
      <w:pPr>
        <w:spacing w:after="160" w:line="276"/>
        <w:jc w:val="both"/>
      </w:pPr>
      <w:r>
        <w:rPr>
          <w:rFonts w:ascii="Arial" w:cs="Arial" w:eastAsia="Arial" w:hAnsi="Arial"/>
          <w:sz w:val="24"/>
          <w:szCs w:val="24"/>
        </w:rPr>
        <w:t xml:space="preserve">Bias in RAG systems can originate from two distinct sources:</w:t>
      </w:r>
    </w:p>
    <w:p>
      <w:pPr>
        <w:pStyle w:val="Heading3"/>
        <w:spacing w:after="100" w:before="200"/>
      </w:pPr>
      <w:r>
        <w:rPr>
          <w:rFonts w:ascii="Arial" w:cs="Arial" w:eastAsia="Arial" w:hAnsi="Arial"/>
          <w:b/>
          <w:bCs/>
          <w:sz w:val="24"/>
          <w:szCs w:val="24"/>
        </w:rPr>
        <w:t xml:space="preserve">2.2.1 Document Bias</w:t>
      </w:r>
    </w:p>
    <w:p>
      <w:pPr>
        <w:spacing w:after="160" w:line="276"/>
        <w:jc w:val="both"/>
      </w:pPr>
      <w:r>
        <w:rPr>
          <w:rFonts w:ascii="Arial" w:cs="Arial" w:eastAsia="Arial" w:hAnsi="Arial"/>
          <w:sz w:val="24"/>
          <w:szCs w:val="24"/>
        </w:rPr>
        <w:t xml:space="preserve">If the knowledge base contains only documents written from one institutional perspective — for example, DBS policies written in formal academic English — students who are non-native English speakers or who have less familiarity with academic norms may receive answers that are harder to interpret or that do not reflect their lived experience. The knowledge base in this project contains the NLP CA2 assessment brief, which is written in formal institutional English. This creates a document bias towards queries phrased in similar formal register.</w:t>
      </w:r>
    </w:p>
    <w:p>
      <w:pPr>
        <w:pStyle w:val="Heading3"/>
        <w:spacing w:after="100" w:before="200"/>
      </w:pPr>
      <w:r>
        <w:rPr>
          <w:rFonts w:ascii="Arial" w:cs="Arial" w:eastAsia="Arial" w:hAnsi="Arial"/>
          <w:b/>
          <w:bCs/>
          <w:sz w:val="24"/>
          <w:szCs w:val="24"/>
        </w:rPr>
        <w:t xml:space="preserve">2.2.2 Embedding Bias</w:t>
      </w:r>
    </w:p>
    <w:p>
      <w:pPr>
        <w:spacing w:after="160" w:line="276"/>
        <w:jc w:val="both"/>
      </w:pPr>
      <w:r>
        <w:rPr>
          <w:rFonts w:ascii="Arial" w:cs="Arial" w:eastAsia="Arial" w:hAnsi="Arial"/>
          <w:sz w:val="24"/>
          <w:szCs w:val="24"/>
        </w:rPr>
        <w:t xml:space="preserve">Pre-trained embedding models such as all-MiniLM-L6-v2 were trained on large general-purpose corpora. They may embed domain-specific institutional terms — such as “MIMLO”, “QAH”, “Moodle”, or “Brightspace” — with lower semantic precision than general terms, degrading retrieval quality for technical institutional queries. Mitigation strategies include fine-tuning embeddings on domain-specific text, diversifying the knowledge base, and implementing a feedback loop to flag poor-quality answers.</w:t>
      </w:r>
    </w:p>
    <w:p>
      <w:pPr>
        <w:pStyle w:val="Heading2"/>
        <w:spacing w:after="120" w:before="280"/>
      </w:pPr>
      <w:r>
        <w:rPr>
          <w:rFonts w:ascii="Arial" w:cs="Arial" w:eastAsia="Arial" w:hAnsi="Arial"/>
          <w:b/>
          <w:bCs/>
          <w:sz w:val="28"/>
          <w:szCs w:val="28"/>
        </w:rPr>
        <w:t xml:space="preserve">2.3 Fairness</w:t>
      </w:r>
    </w:p>
    <w:p>
      <w:pPr>
        <w:spacing w:after="160" w:line="276"/>
        <w:jc w:val="both"/>
      </w:pPr>
      <w:r>
        <w:rPr>
          <w:rFonts w:ascii="Arial" w:cs="Arial" w:eastAsia="Arial" w:hAnsi="Arial"/>
          <w:sz w:val="24"/>
          <w:szCs w:val="24"/>
        </w:rPr>
        <w:t xml:space="preserve">Fairness in the context of this chatbot means ensuring that all student cohorts receive equally accurate and helpful answers. A student asking about an extension policy should receive the same quality of answer regardless of how the question is phrased. Testing across different linguistic styles and phrasings — known as robustness testing — is a practical fairness audit for NLP systems. In this project, the evaluation set of 51 questions deliberately includes paraphrased variants of key questions to assess whether retrieval precision degrades with different phrasings.</w:t>
      </w:r>
    </w:p>
    <w:p>
      <w:pPr>
        <w:pStyle w:val="Heading2"/>
        <w:spacing w:after="120" w:before="280"/>
      </w:pPr>
      <w:r>
        <w:rPr>
          <w:rFonts w:ascii="Arial" w:cs="Arial" w:eastAsia="Arial" w:hAnsi="Arial"/>
          <w:b/>
          <w:bCs/>
          <w:sz w:val="28"/>
          <w:szCs w:val="28"/>
        </w:rPr>
        <w:t xml:space="preserve">2.4 Explainability</w:t>
      </w:r>
    </w:p>
    <w:p>
      <w:pPr>
        <w:spacing w:after="160" w:line="276"/>
        <w:jc w:val="both"/>
      </w:pPr>
      <w:r>
        <w:rPr>
          <w:rFonts w:ascii="Arial" w:cs="Arial" w:eastAsia="Arial" w:hAnsi="Arial"/>
          <w:sz w:val="24"/>
          <w:szCs w:val="24"/>
        </w:rPr>
        <w:t xml:space="preserve">RAG systems offer inherent explainability advantages over pure generative LLMs. Source attribution ties each answer to a specific document and page number. Chunk visibility allows users to view the exact text segments that informed the answer. Counterfactual reasoning means that if a source chunk is removed or updated, the answer changes predictably.</w:t>
      </w:r>
    </w:p>
    <w:p>
      <w:pPr>
        <w:spacing w:after="0"/>
      </w:pPr>
      <w:r>
        <w:t xml:space="preserve"/>
      </w:r>
    </w:p>
    <w:p>
      <w:pPr>
        <w:spacing w:after="160" w:line="276"/>
        <w:jc w:val="both"/>
      </w:pPr>
      <w:r>
        <w:rPr>
          <w:rFonts w:ascii="Arial" w:cs="Arial" w:eastAsia="Arial" w:hAnsi="Arial"/>
          <w:sz w:val="24"/>
          <w:szCs w:val="24"/>
        </w:rPr>
        <w:t xml:space="preserve">This is in contrast to a standalone LLM, where the answer arrives with no traceable reasoning path. In this system, every answer returned by answer_with_rag() includes a sources list containing the retrieved Document objects, complete with source filename and page number metadata — enabling full answer auditability.</w:t>
      </w:r>
    </w:p>
    <w:p>
      <w:pPr>
        <w:pStyle w:val="Heading2"/>
        <w:spacing w:after="120" w:before="280"/>
      </w:pPr>
      <w:r>
        <w:rPr>
          <w:rFonts w:ascii="Arial" w:cs="Arial" w:eastAsia="Arial" w:hAnsi="Arial"/>
          <w:b/>
          <w:bCs/>
          <w:sz w:val="28"/>
          <w:szCs w:val="28"/>
        </w:rPr>
        <w:t xml:space="preserve">2.5 Interpretability</w:t>
      </w:r>
    </w:p>
    <w:p>
      <w:pPr>
        <w:spacing w:after="160" w:line="276"/>
        <w:jc w:val="both"/>
      </w:pPr>
      <w:r>
        <w:rPr>
          <w:rFonts w:ascii="Arial" w:cs="Arial" w:eastAsia="Arial" w:hAnsi="Arial"/>
          <w:sz w:val="24"/>
          <w:szCs w:val="24"/>
        </w:rPr>
        <w:t xml:space="preserve">The pipeline components are individually interpretable. The retriever can be evaluated by measuring whether retrieved chunks are topically relevant. The prompt template is human-readable and can be audited. The LLM output is constrained by a system instruction to answer only from provided context, making deviations (hallucinations) easier to detect.</w:t>
      </w:r>
    </w:p>
    <w:p>
      <w:pPr>
        <w:spacing w:after="0"/>
      </w:pPr>
      <w:r>
        <w:t xml:space="preserve"/>
      </w:r>
    </w:p>
    <w:p>
      <w:pPr>
        <w:spacing w:after="160" w:line="276"/>
        <w:jc w:val="both"/>
      </w:pPr>
      <w:r>
        <w:rPr>
          <w:rFonts w:ascii="Arial" w:cs="Arial" w:eastAsia="Arial" w:hAnsi="Arial"/>
          <w:sz w:val="24"/>
          <w:szCs w:val="24"/>
        </w:rPr>
        <w:t xml:space="preserve">However, the internal mechanics of the transformer architecture — how the LLM processes tokens to produce an answer — remain a black box, which limits deep interpretability at the generation stage. This is an inherent limitation of neural language models that applies regardless of whether retrieval augmentation is used.</w:t>
      </w:r>
    </w:p>
    <w:p>
      <w:pPr>
        <w:spacing w:after="0"/>
      </w:pPr>
      <w:r>
        <w:t xml:space="preserve"/>
      </w:r>
    </w:p>
    <w:p>
      <w:pPr>
        <w:pStyle w:val="Heading1"/>
        <w:spacing w:after="160" w:before="360"/>
      </w:pPr>
      <w:r>
        <w:rPr>
          <w:rFonts w:ascii="Arial" w:cs="Arial" w:eastAsia="Arial" w:hAnsi="Arial"/>
          <w:b/>
          <w:bCs/>
          <w:sz w:val="32"/>
          <w:szCs w:val="32"/>
        </w:rPr>
        <w:t xml:space="preserve">3. Task 2b – Critique of Modelling Techniques and Libraries Used</w:t>
      </w:r>
    </w:p>
    <w:p>
      <w:pPr>
        <w:spacing w:after="160"/>
      </w:pPr>
      <w:r>
        <w:rPr>
          <w:rFonts w:ascii="Arial" w:cs="Arial" w:eastAsia="Arial" w:hAnsi="Arial"/>
          <w:i/>
          <w:iCs/>
          <w:color w:val="555555"/>
          <w:sz w:val="22"/>
          <w:szCs w:val="22"/>
        </w:rPr>
        <w:t xml:space="preserve">Criterion 003 – 25 marks</w:t>
      </w:r>
    </w:p>
    <w:p>
      <w:pPr>
        <w:pStyle w:val="Heading2"/>
        <w:spacing w:after="120" w:before="280"/>
      </w:pPr>
      <w:r>
        <w:rPr>
          <w:rFonts w:ascii="Arial" w:cs="Arial" w:eastAsia="Arial" w:hAnsi="Arial"/>
          <w:b/>
          <w:bCs/>
          <w:sz w:val="28"/>
          <w:szCs w:val="28"/>
        </w:rPr>
        <w:t xml:space="preserve">3.1 LangChain</w:t>
      </w:r>
    </w:p>
    <w:p>
      <w:pPr>
        <w:spacing w:after="160" w:line="276"/>
        <w:jc w:val="both"/>
      </w:pPr>
      <w:r>
        <w:rPr>
          <w:rFonts w:ascii="Arial" w:cs="Arial" w:eastAsia="Arial" w:hAnsi="Arial"/>
          <w:sz w:val="24"/>
          <w:szCs w:val="24"/>
        </w:rPr>
        <w:t xml:space="preserve">LangChain was selected as the primary orchestration framework because it provides pre-built abstractions for each stage of the RAG pipeline: document loading, text splitting, embedding, retrieval, and chain construction. This significantly reduces boilerplate code and allows rapid prototyping.</w:t>
      </w:r>
    </w:p>
    <w:p>
      <w:pPr>
        <w:spacing w:after="0"/>
      </w:pPr>
      <w:r>
        <w:t xml:space="preserve"/>
      </w:r>
    </w:p>
    <w:p>
      <w:pPr>
        <w:spacing w:after="160" w:line="276"/>
        <w:jc w:val="both"/>
      </w:pPr>
      <w:r>
        <w:rPr>
          <w:rFonts w:ascii="Arial" w:cs="Arial" w:eastAsia="Arial" w:hAnsi="Arial"/>
          <w:sz w:val="24"/>
          <w:szCs w:val="24"/>
        </w:rPr>
        <w:t xml:space="preserve">Advantages: LangChain has a modular architecture — each component (loader, splitter, vectorstore, LLM) can be swapped independently. LangChain Expression Language (LCEL) enables clean, readable pipeline definitions using the pipe (|) operator. It has a strong community and documentation, which is advantageous for academic projects.</w:t>
      </w:r>
    </w:p>
    <w:p>
      <w:pPr>
        <w:spacing w:after="0"/>
      </w:pPr>
      <w:r>
        <w:t xml:space="preserve"/>
      </w:r>
    </w:p>
    <w:p>
      <w:pPr>
        <w:spacing w:after="160" w:line="276"/>
        <w:jc w:val="both"/>
      </w:pPr>
      <w:r>
        <w:rPr>
          <w:rFonts w:ascii="Arial" w:cs="Arial" w:eastAsia="Arial" w:hAnsi="Arial"/>
          <w:sz w:val="24"/>
          <w:szCs w:val="24"/>
        </w:rPr>
        <w:t xml:space="preserve">Limitations: Rapid version changes (from v0.0.x to v0.1 to v0.2) have introduced breaking API changes, creating dependency management challenges. The requirements.txt in this project pins langchain&gt;=0.3.0,&lt;0.4.0 specifically to avoid conflicts. Abstraction layers can obscure what is happening under the hood, making debugging harder. For production use, the overhead of LangChain may not be justified versus lighter custom implementations.</w:t>
      </w:r>
    </w:p>
    <w:p>
      <w:pPr>
        <w:pStyle w:val="Heading2"/>
        <w:spacing w:after="120" w:before="280"/>
      </w:pPr>
      <w:r>
        <w:rPr>
          <w:rFonts w:ascii="Arial" w:cs="Arial" w:eastAsia="Arial" w:hAnsi="Arial"/>
          <w:b/>
          <w:bCs/>
          <w:sz w:val="28"/>
          <w:szCs w:val="28"/>
        </w:rPr>
        <w:t xml:space="preserve">3.2 FAISS (Facebook AI Similarity Search)</w:t>
      </w:r>
    </w:p>
    <w:p>
      <w:pPr>
        <w:spacing w:after="160" w:line="276"/>
        <w:jc w:val="both"/>
      </w:pPr>
      <w:r>
        <w:rPr>
          <w:rFonts w:ascii="Arial" w:cs="Arial" w:eastAsia="Arial" w:hAnsi="Arial"/>
          <w:sz w:val="24"/>
          <w:szCs w:val="24"/>
        </w:rPr>
        <w:t xml:space="preserve">FAISS stores document embeddings as dense vectors and retrieves the nearest neighbours to a query vector using approximate nearest neighbour (ANN) search.</w:t>
      </w:r>
    </w:p>
    <w:p>
      <w:pPr>
        <w:spacing w:after="0"/>
      </w:pPr>
      <w:r>
        <w:t xml:space="preserve"/>
      </w:r>
    </w:p>
    <w:p>
      <w:pPr>
        <w:spacing w:after="160" w:line="276"/>
        <w:jc w:val="both"/>
      </w:pPr>
      <w:r>
        <w:rPr>
          <w:rFonts w:ascii="Arial" w:cs="Arial" w:eastAsia="Arial" w:hAnsi="Arial"/>
          <w:sz w:val="24"/>
          <w:szCs w:val="24"/>
        </w:rPr>
        <w:t xml:space="preserve">Advantages: FAISS provides extremely fast similarity search, even on CPU. It supports large-scale indices (millions of vectors). It is fully local — no external API or network latency — which is important for data privacy in institutional deployments.</w:t>
      </w:r>
    </w:p>
    <w:p>
      <w:pPr>
        <w:spacing w:after="0"/>
      </w:pPr>
      <w:r>
        <w:t xml:space="preserve"/>
      </w:r>
    </w:p>
    <w:p>
      <w:pPr>
        <w:spacing w:after="160" w:line="276"/>
        <w:jc w:val="both"/>
      </w:pPr>
      <w:r>
        <w:rPr>
          <w:rFonts w:ascii="Arial" w:cs="Arial" w:eastAsia="Arial" w:hAnsi="Arial"/>
          <w:sz w:val="24"/>
          <w:szCs w:val="24"/>
        </w:rPr>
        <w:t xml:space="preserve">Limitations: FAISS is an in-memory store. For very large corpora, RAM becomes a bottleneck. It does not support hybrid search (keyword + semantic) natively. Systems like Weaviate or Pinecone support this but add infrastructure complexity. The FAISS index is not updated dynamically; adding new documents requires a full rebuild of the index.</w:t>
      </w:r>
    </w:p>
    <w:p>
      <w:pPr>
        <w:pStyle w:val="Heading2"/>
        <w:spacing w:after="120" w:before="280"/>
      </w:pPr>
      <w:r>
        <w:rPr>
          <w:rFonts w:ascii="Arial" w:cs="Arial" w:eastAsia="Arial" w:hAnsi="Arial"/>
          <w:b/>
          <w:bCs/>
          <w:sz w:val="28"/>
          <w:szCs w:val="28"/>
        </w:rPr>
        <w:t xml:space="preserve">3.3 HuggingFace Embeddings (all-MiniLM-L6-v2)</w:t>
      </w:r>
    </w:p>
    <w:p>
      <w:pPr>
        <w:spacing w:after="160" w:line="276"/>
        <w:jc w:val="both"/>
      </w:pPr>
      <w:r>
        <w:rPr>
          <w:rFonts w:ascii="Arial" w:cs="Arial" w:eastAsia="Arial" w:hAnsi="Arial"/>
          <w:sz w:val="24"/>
          <w:szCs w:val="24"/>
        </w:rPr>
        <w:t xml:space="preserve">The sentence-transformers/all-MiniLM-L6-v2 model converts text chunks and queries into 384-dimensional dense vectors, enabling semantic similarity comparisons. At approximately 22MB, it runs efficiently on CPU without requiring any API key or incurring token costs.</w:t>
      </w:r>
    </w:p>
    <w:p>
      <w:pPr>
        <w:spacing w:after="0"/>
      </w:pPr>
      <w:r>
        <w:t xml:space="preserve"/>
      </w:r>
    </w:p>
    <w:p>
      <w:pPr>
        <w:spacing w:after="160" w:line="276"/>
        <w:jc w:val="both"/>
      </w:pPr>
      <w:r>
        <w:rPr>
          <w:rFonts w:ascii="Arial" w:cs="Arial" w:eastAsia="Arial" w:hAnsi="Arial"/>
          <w:sz w:val="24"/>
          <w:szCs w:val="24"/>
        </w:rPr>
        <w:t xml:space="preserve">Advantages: The model is free and runs locally, making it suitable for privacy-sensitive institutional deployments. It provides strong performance for general semantic similarity tasks, with sentence-level representations that capture meaning beyond keyword overlap.</w:t>
      </w:r>
    </w:p>
    <w:p>
      <w:pPr>
        <w:spacing w:after="0"/>
      </w:pPr>
      <w:r>
        <w:t xml:space="preserve"/>
      </w:r>
    </w:p>
    <w:p>
      <w:pPr>
        <w:spacing w:after="160" w:line="276"/>
        <w:jc w:val="both"/>
      </w:pPr>
      <w:r>
        <w:rPr>
          <w:rFonts w:ascii="Arial" w:cs="Arial" w:eastAsia="Arial" w:hAnsi="Arial"/>
          <w:sz w:val="24"/>
          <w:szCs w:val="24"/>
        </w:rPr>
        <w:t xml:space="preserve">Limitations: The model was not trained on university-specific institutional language. Domain-specific terms such as “MIMLO”, “QAH”, or “Brightspace” may be embedded with lower precision than general English words, creating a semantic gap between the query and the document chunks. A higher-quality alternative would be to fine-tune the embedding model on university documents.</w:t>
      </w:r>
    </w:p>
    <w:p>
      <w:pPr>
        <w:pStyle w:val="Heading2"/>
        <w:spacing w:after="120" w:before="280"/>
      </w:pPr>
      <w:r>
        <w:rPr>
          <w:rFonts w:ascii="Arial" w:cs="Arial" w:eastAsia="Arial" w:hAnsi="Arial"/>
          <w:b/>
          <w:bCs/>
          <w:sz w:val="28"/>
          <w:szCs w:val="28"/>
        </w:rPr>
        <w:t xml:space="preserve">3.4 Cross-Encoder Reranker (ms-marco-MiniLM-L-6-v2)</w:t>
      </w:r>
    </w:p>
    <w:p>
      <w:pPr>
        <w:spacing w:after="160" w:line="276"/>
        <w:jc w:val="both"/>
      </w:pPr>
      <w:r>
        <w:rPr>
          <w:rFonts w:ascii="Arial" w:cs="Arial" w:eastAsia="Arial" w:hAnsi="Arial"/>
          <w:sz w:val="24"/>
          <w:szCs w:val="24"/>
        </w:rPr>
        <w:t xml:space="preserve">The two-stage retrieval architecture addresses a fundamental limitation of bi-encoder systems. In Stage 1, the bi-encoder (FAISS) embeds queries and document chunks independently and retrieves fetch_k=15 candidates by cosine similarity. While fast, this approach has a critical weakness: the bi-encoder matches on general semantic similarity. The phrase “submission deadline” appears in PDFs from multiple modules (NLP, ML, Recommender Systems), so the bi-encoder may retrieve chunks from the wrong subject’s PDF.</w:t>
      </w:r>
    </w:p>
    <w:p>
      <w:pPr>
        <w:spacing w:after="0"/>
      </w:pPr>
      <w:r>
        <w:t xml:space="preserve"/>
      </w:r>
    </w:p>
    <w:p>
      <w:pPr>
        <w:spacing w:after="160" w:line="276"/>
        <w:jc w:val="both"/>
      </w:pPr>
      <w:r>
        <w:rPr>
          <w:rFonts w:ascii="Arial" w:cs="Arial" w:eastAsia="Arial" w:hAnsi="Arial"/>
          <w:sz w:val="24"/>
          <w:szCs w:val="24"/>
        </w:rPr>
        <w:t xml:space="preserve">In Stage 2, the cross-encoder (ms-marco-MiniLM-L-6-v2) reads each (query, chunk) pair jointly — giving the model full attention over both texts simultaneously. This allows it to distinguish “NLP submission deadline” context from “ML submission deadline” context, dramatically improving subject-specific precision. The cross-encoder reranks the 15 candidates and selects the top 5 for the LLM context window. This two-stage approach balances scalability (bi-encoder for broad recall) with precision (cross-encoder for targeted reranking).</w:t>
      </w:r>
    </w:p>
    <w:p>
      <w:pPr>
        <w:spacing w:after="0"/>
      </w:pPr>
      <w:r>
        <w:t xml:space="preserve"/>
      </w:r>
    </w:p>
    <w:p>
      <w:pPr>
        <w:spacing w:after="160" w:line="276"/>
        <w:jc w:val="both"/>
      </w:pPr>
      <w:r>
        <w:rPr>
          <w:rFonts w:ascii="Arial" w:cs="Arial" w:eastAsia="Arial" w:hAnsi="Arial"/>
          <w:sz w:val="24"/>
          <w:szCs w:val="24"/>
        </w:rPr>
        <w:t xml:space="preserve">A concrete demonstration of reranker impact: before enabling the cross-encoder, the query “What is the submission deadline for the NLP CA2 assignment?” retrieved chunks from the ML and Recommender Systems PDFs rather than the NLP PDF, because the bi-encoder matched the generic phrase “submission deadline” equally across all documents. After enabling the cross-encoder, retrieval correctly prioritised NLP-specific chunks.</w:t>
      </w:r>
    </w:p>
    <w:p>
      <w:pPr>
        <w:pStyle w:val="Heading2"/>
        <w:spacing w:after="120" w:before="280"/>
      </w:pPr>
      <w:r>
        <w:rPr>
          <w:rFonts w:ascii="Arial" w:cs="Arial" w:eastAsia="Arial" w:hAnsi="Arial"/>
          <w:b/>
          <w:bCs/>
          <w:sz w:val="28"/>
          <w:szCs w:val="28"/>
        </w:rPr>
        <w:t xml:space="preserve">3.5 RecursiveCharacterTextSplitter</w:t>
      </w:r>
    </w:p>
    <w:p>
      <w:pPr>
        <w:spacing w:after="160" w:line="276"/>
        <w:jc w:val="both"/>
      </w:pPr>
      <w:r>
        <w:rPr>
          <w:rFonts w:ascii="Arial" w:cs="Arial" w:eastAsia="Arial" w:hAnsi="Arial"/>
          <w:sz w:val="24"/>
          <w:szCs w:val="24"/>
        </w:rPr>
        <w:t xml:space="preserve">This splitter divides documents hierarchically: first on double newlines, then single newlines, then sentences, then words. This preserves semantic units better than fixed-size character splits.</w:t>
      </w:r>
    </w:p>
    <w:p>
      <w:pPr>
        <w:spacing w:after="0"/>
      </w:pPr>
      <w:r>
        <w:t xml:space="preserve"/>
      </w:r>
    </w:p>
    <w:p>
      <w:pPr>
        <w:spacing w:after="160" w:line="276"/>
        <w:jc w:val="both"/>
      </w:pPr>
      <w:r>
        <w:rPr>
          <w:rFonts w:ascii="Arial" w:cs="Arial" w:eastAsia="Arial" w:hAnsi="Arial"/>
          <w:sz w:val="24"/>
          <w:szCs w:val="24"/>
        </w:rPr>
        <w:t xml:space="preserve">In this project, chunk_size=800 was selected to preserve table rows and bullet list items intact. Smaller chunks (200–300 characters) allow more precise retrieval but risk cutting sentences mid-thought, losing critical context. Larger chunks (1000+ characters) provide richer context per chunk but may introduce irrelevant content, increasing noise in the LLM context window. The chunk_overlap=80 parameter ensures that information near chunk boundaries is not lost, improving recall at the cost of marginal redundancy. The optimal chunk size is corpus-dependent and ideally determined empirically through evaluation.</w:t>
      </w:r>
    </w:p>
    <w:p>
      <w:pPr>
        <w:pStyle w:val="Heading2"/>
        <w:spacing w:after="120" w:before="280"/>
      </w:pPr>
      <w:r>
        <w:rPr>
          <w:rFonts w:ascii="Arial" w:cs="Arial" w:eastAsia="Arial" w:hAnsi="Arial"/>
          <w:b/>
          <w:bCs/>
          <w:sz w:val="28"/>
          <w:szCs w:val="28"/>
        </w:rPr>
        <w:t xml:space="preserve">3.6 Anthropic Claude 3 Haiku</w:t>
      </w:r>
    </w:p>
    <w:p>
      <w:pPr>
        <w:spacing w:after="160" w:line="276"/>
        <w:jc w:val="both"/>
      </w:pPr>
      <w:r>
        <w:rPr>
          <w:rFonts w:ascii="Arial" w:cs="Arial" w:eastAsia="Arial" w:hAnsi="Arial"/>
          <w:sz w:val="24"/>
          <w:szCs w:val="24"/>
        </w:rPr>
        <w:t xml:space="preserve">Claude 3 Haiku was selected as the generative LLM for its balance of speed, cost, and instruction-following quality. At temperature=0.0, the model is fully deterministic, ensuring reproducible answers for the same query and context — an important property for institutional deployments where answer consistency matters.</w:t>
      </w:r>
    </w:p>
    <w:p>
      <w:pPr>
        <w:spacing w:after="0"/>
      </w:pPr>
      <w:r>
        <w:t xml:space="preserve"/>
      </w:r>
    </w:p>
    <w:p>
      <w:pPr>
        <w:spacing w:after="160" w:line="276"/>
        <w:jc w:val="both"/>
      </w:pPr>
      <w:r>
        <w:rPr>
          <w:rFonts w:ascii="Arial" w:cs="Arial" w:eastAsia="Arial" w:hAnsi="Arial"/>
          <w:sz w:val="24"/>
          <w:szCs w:val="24"/>
        </w:rPr>
        <w:t xml:space="preserve">The system prompt explicitly grounds the model: it is instructed to answer using ONLY the information in the provided context and to respond with a standard refusal message if the answer is not found, rather than hallucinating. This grounding mechanism is the primary defence against LLM hallucination in the pipeline. The max_tokens=1024 limit keeps answers concise and prevents runaway generation.</w:t>
      </w:r>
    </w:p>
    <w:p>
      <w:pPr>
        <w:pStyle w:val="Heading2"/>
        <w:spacing w:after="120" w:before="280"/>
      </w:pPr>
      <w:r>
        <w:rPr>
          <w:rFonts w:ascii="Arial" w:cs="Arial" w:eastAsia="Arial" w:hAnsi="Arial"/>
          <w:b/>
          <w:bCs/>
          <w:sz w:val="28"/>
          <w:szCs w:val="28"/>
        </w:rPr>
        <w:t xml:space="preserve">3.7 Design Trade-offs</w:t>
      </w:r>
    </w:p>
    <w:p>
      <w:pPr>
        <w:spacing w:after="160" w:line="276"/>
        <w:jc w:val="both"/>
      </w:pPr>
      <w:r>
        <w:rPr>
          <w:rFonts w:ascii="Arial" w:cs="Arial" w:eastAsia="Arial" w:hAnsi="Arial"/>
          <w:sz w:val="24"/>
          <w:szCs w:val="24"/>
        </w:rPr>
        <w:t xml:space="preserve">Table 1 below summarises the key design decisions made during system development, the alternatives considered, and the trade-offs involved.</w:t>
      </w:r>
    </w:p>
    <w:p>
      <w:pPr>
        <w:spacing w:after="0"/>
      </w:pPr>
      <w:r>
        <w:t xml:space="preserve"/>
      </w:r>
    </w:p>
    <w:p>
      <w:pPr>
        <w:spacing w:after="80"/>
        <w:jc w:val="center"/>
      </w:pPr>
      <w:r>
        <w:rPr>
          <w:rFonts w:ascii="Arial" w:cs="Arial" w:eastAsia="Arial" w:hAnsi="Arial"/>
          <w:i/>
          <w:iCs/>
          <w:sz w:val="22"/>
          <w:szCs w:val="22"/>
        </w:rPr>
        <w:t xml:space="preserve">Table 1: RAG System Design Trade-offs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226"/>
      </w:tblGrid>
      <w:tr>
        <w:trPr>
          <w:tblHeader/>
        </w:trPr>
        <w:tc>
          <w:tcPr>
            <w:tcW w:type="dxa" w:w="1800"/>
            <w:tcBorders>
              <w:top w:val="single" w:color="AAAAAA" w:sz="4"/>
              <w:left w:val="single" w:color="AAAAAA" w:sz="4"/>
              <w:bottom w:val="single" w:color="AAAAAA" w:sz="4"/>
              <w:right w:val="single" w:color="AAAAAA" w:sz="4"/>
            </w:tcBorders>
            <w:shd w:fill="2E4057"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Design Decision</w:t>
            </w:r>
          </w:p>
        </w:tc>
        <w:tc>
          <w:tcPr>
            <w:tcW w:type="dxa" w:w="2000"/>
            <w:tcBorders>
              <w:top w:val="single" w:color="AAAAAA" w:sz="4"/>
              <w:left w:val="single" w:color="AAAAAA" w:sz="4"/>
              <w:bottom w:val="single" w:color="AAAAAA" w:sz="4"/>
              <w:right w:val="single" w:color="AAAAAA" w:sz="4"/>
            </w:tcBorders>
            <w:shd w:fill="2E4057"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Choice Made</w:t>
            </w:r>
          </w:p>
        </w:tc>
        <w:tc>
          <w:tcPr>
            <w:tcW w:type="dxa" w:w="2000"/>
            <w:tcBorders>
              <w:top w:val="single" w:color="AAAAAA" w:sz="4"/>
              <w:left w:val="single" w:color="AAAAAA" w:sz="4"/>
              <w:bottom w:val="single" w:color="AAAAAA" w:sz="4"/>
              <w:right w:val="single" w:color="AAAAAA" w:sz="4"/>
            </w:tcBorders>
            <w:shd w:fill="2E4057"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Alternative</w:t>
            </w:r>
          </w:p>
        </w:tc>
        <w:tc>
          <w:tcPr>
            <w:tcW w:type="dxa" w:w="3226"/>
            <w:tcBorders>
              <w:top w:val="single" w:color="AAAAAA" w:sz="4"/>
              <w:left w:val="single" w:color="AAAAAA" w:sz="4"/>
              <w:bottom w:val="single" w:color="AAAAAA" w:sz="4"/>
              <w:right w:val="single" w:color="AAAAAA" w:sz="4"/>
            </w:tcBorders>
            <w:shd w:fill="2E4057"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Trade-off</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Retrieval Type</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Dense semantic (FAISS bi-encoder)</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Sparse keyword (BM25)</w:t>
            </w:r>
          </w:p>
        </w:tc>
        <w:tc>
          <w:tcPr>
            <w:tcW w:type="dxa" w:w="3226"/>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Dense handles paraphrase and synonym matching better; sparse handles exact term matching and rare words better</w:t>
            </w:r>
          </w:p>
        </w:tc>
      </w:tr>
      <w:tr>
        <w:tc>
          <w:tcPr>
            <w:tcW w:type="dxa" w:w="1800"/>
            <w:tcBorders>
              <w:top w:val="single" w:color="AAAAAA" w:sz="4"/>
              <w:left w:val="single" w:color="AAAAAA" w:sz="4"/>
              <w:bottom w:val="single" w:color="AAAAAA" w:sz="4"/>
              <w:right w:val="single" w:color="AAAAAA" w:sz="4"/>
            </w:tcBorders>
            <w:shd w:fill="EBF2FA"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LLM Temperature</w:t>
            </w:r>
          </w:p>
        </w:tc>
        <w:tc>
          <w:tcPr>
            <w:tcW w:type="dxa" w:w="2000"/>
            <w:tcBorders>
              <w:top w:val="single" w:color="AAAAAA" w:sz="4"/>
              <w:left w:val="single" w:color="AAAAAA" w:sz="4"/>
              <w:bottom w:val="single" w:color="AAAAAA" w:sz="4"/>
              <w:right w:val="single" w:color="AAAAAA" w:sz="4"/>
            </w:tcBorders>
            <w:shd w:fill="EBF2FA"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0.0 (deterministic)</w:t>
            </w:r>
          </w:p>
        </w:tc>
        <w:tc>
          <w:tcPr>
            <w:tcW w:type="dxa" w:w="2000"/>
            <w:tcBorders>
              <w:top w:val="single" w:color="AAAAAA" w:sz="4"/>
              <w:left w:val="single" w:color="AAAAAA" w:sz="4"/>
              <w:bottom w:val="single" w:color="AAAAAA" w:sz="4"/>
              <w:right w:val="single" w:color="AAAAAA" w:sz="4"/>
            </w:tcBorders>
            <w:shd w:fill="EBF2FA"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&gt;0.0 (stochastic)</w:t>
            </w:r>
          </w:p>
        </w:tc>
        <w:tc>
          <w:tcPr>
            <w:tcW w:type="dxa" w:w="3226"/>
            <w:tcBorders>
              <w:top w:val="single" w:color="AAAAAA" w:sz="4"/>
              <w:left w:val="single" w:color="AAAAAA" w:sz="4"/>
              <w:bottom w:val="single" w:color="AAAAAA" w:sz="4"/>
              <w:right w:val="single" w:color="AAAAAA" w:sz="4"/>
            </w:tcBorders>
            <w:shd w:fill="EBF2FA"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Temperature 0.0 maximises reproducibility and reduces hallucination risk; higher temperature may produce more fluent but less consistent answers</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Top-K Chunks</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top_k=5 (after reranking)</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3 or 10</w:t>
            </w:r>
          </w:p>
        </w:tc>
        <w:tc>
          <w:tcPr>
            <w:tcW w:type="dxa" w:w="3226"/>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More chunks increase context coverage but also introduce noise; fewer chunks are more precise but risk missing relevant information</w:t>
            </w:r>
          </w:p>
        </w:tc>
      </w:tr>
      <w:tr>
        <w:tc>
          <w:tcPr>
            <w:tcW w:type="dxa" w:w="1800"/>
            <w:tcBorders>
              <w:top w:val="single" w:color="AAAAAA" w:sz="4"/>
              <w:left w:val="single" w:color="AAAAAA" w:sz="4"/>
              <w:bottom w:val="single" w:color="AAAAAA" w:sz="4"/>
              <w:right w:val="single" w:color="AAAAAA" w:sz="4"/>
            </w:tcBorders>
            <w:shd w:fill="EBF2FA"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Embedding Model</w:t>
            </w:r>
          </w:p>
        </w:tc>
        <w:tc>
          <w:tcPr>
            <w:tcW w:type="dxa" w:w="2000"/>
            <w:tcBorders>
              <w:top w:val="single" w:color="AAAAAA" w:sz="4"/>
              <w:left w:val="single" w:color="AAAAAA" w:sz="4"/>
              <w:bottom w:val="single" w:color="AAAAAA" w:sz="4"/>
              <w:right w:val="single" w:color="AAAAAA" w:sz="4"/>
            </w:tcBorders>
            <w:shd w:fill="EBF2FA"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all-MiniLM-L6-v2 (local, free)</w:t>
            </w:r>
          </w:p>
        </w:tc>
        <w:tc>
          <w:tcPr>
            <w:tcW w:type="dxa" w:w="2000"/>
            <w:tcBorders>
              <w:top w:val="single" w:color="AAAAAA" w:sz="4"/>
              <w:left w:val="single" w:color="AAAAAA" w:sz="4"/>
              <w:bottom w:val="single" w:color="AAAAAA" w:sz="4"/>
              <w:right w:val="single" w:color="AAAAAA" w:sz="4"/>
            </w:tcBorders>
            <w:shd w:fill="EBF2FA"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OpenAI text-embedding-ada-002</w:t>
            </w:r>
          </w:p>
        </w:tc>
        <w:tc>
          <w:tcPr>
            <w:tcW w:type="dxa" w:w="3226"/>
            <w:tcBorders>
              <w:top w:val="single" w:color="AAAAAA" w:sz="4"/>
              <w:left w:val="single" w:color="AAAAAA" w:sz="4"/>
              <w:bottom w:val="single" w:color="AAAAAA" w:sz="4"/>
              <w:right w:val="single" w:color="AAAAAA" w:sz="4"/>
            </w:tcBorders>
            <w:shd w:fill="EBF2FA"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Local model has no cost or privacy risk; OpenAI embedding is higher quality but incurs per-token API cost and sends data externally</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Reranking</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Cross-encoder (ms-marco-MiniLM)</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No reranking (bi-encoder only)</w:t>
            </w:r>
          </w:p>
        </w:tc>
        <w:tc>
          <w:tcPr>
            <w:tcW w:type="dxa" w:w="3226"/>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Reranking significantly improves subject-specific precision at the cost of additional inference time (~23ms per candidate batch)</w:t>
            </w:r>
          </w:p>
        </w:tc>
      </w:tr>
      <w:tr>
        <w:tc>
          <w:tcPr>
            <w:tcW w:type="dxa" w:w="1800"/>
            <w:tcBorders>
              <w:top w:val="single" w:color="AAAAAA" w:sz="4"/>
              <w:left w:val="single" w:color="AAAAAA" w:sz="4"/>
              <w:bottom w:val="single" w:color="AAAAAA" w:sz="4"/>
              <w:right w:val="single" w:color="AAAAAA" w:sz="4"/>
            </w:tcBorders>
            <w:shd w:fill="EBF2FA"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Chunk Size</w:t>
            </w:r>
          </w:p>
        </w:tc>
        <w:tc>
          <w:tcPr>
            <w:tcW w:type="dxa" w:w="2000"/>
            <w:tcBorders>
              <w:top w:val="single" w:color="AAAAAA" w:sz="4"/>
              <w:left w:val="single" w:color="AAAAAA" w:sz="4"/>
              <w:bottom w:val="single" w:color="AAAAAA" w:sz="4"/>
              <w:right w:val="single" w:color="AAAAAA" w:sz="4"/>
            </w:tcBorders>
            <w:shd w:fill="EBF2FA"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800 characters</w:t>
            </w:r>
          </w:p>
        </w:tc>
        <w:tc>
          <w:tcPr>
            <w:tcW w:type="dxa" w:w="2000"/>
            <w:tcBorders>
              <w:top w:val="single" w:color="AAAAAA" w:sz="4"/>
              <w:left w:val="single" w:color="AAAAAA" w:sz="4"/>
              <w:bottom w:val="single" w:color="AAAAAA" w:sz="4"/>
              <w:right w:val="single" w:color="AAAAAA" w:sz="4"/>
            </w:tcBorders>
            <w:shd w:fill="EBF2FA"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300-500 characters</w:t>
            </w:r>
          </w:p>
        </w:tc>
        <w:tc>
          <w:tcPr>
            <w:tcW w:type="dxa" w:w="3226"/>
            <w:tcBorders>
              <w:top w:val="single" w:color="AAAAAA" w:sz="4"/>
              <w:left w:val="single" w:color="AAAAAA" w:sz="4"/>
              <w:bottom w:val="single" w:color="AAAAAA" w:sz="4"/>
              <w:right w:val="single" w:color="AAAAAA" w:sz="4"/>
            </w:tcBorders>
            <w:shd w:fill="EBF2FA"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Larger chunks preserve table and list structure; smaller chunks enable more granular retrieval</w:t>
            </w:r>
          </w:p>
        </w:tc>
      </w:tr>
    </w:tbl>
    <w:p>
      <w:pPr>
        <w:spacing w:after="0"/>
      </w:pPr>
      <w:r>
        <w:t xml:space="preserve"/>
      </w:r>
    </w:p>
    <w:p>
      <w:pPr>
        <w:pStyle w:val="Heading1"/>
        <w:spacing w:after="160" w:before="360"/>
      </w:pPr>
      <w:r>
        <w:rPr>
          <w:rFonts w:ascii="Arial" w:cs="Arial" w:eastAsia="Arial" w:hAnsi="Arial"/>
          <w:b/>
          <w:bCs/>
          <w:sz w:val="32"/>
          <w:szCs w:val="32"/>
        </w:rPr>
        <w:t xml:space="preserve">4. Task 2c – Performance Evaluation of Results</w:t>
      </w:r>
    </w:p>
    <w:p>
      <w:pPr>
        <w:spacing w:after="160"/>
      </w:pPr>
      <w:r>
        <w:rPr>
          <w:rFonts w:ascii="Arial" w:cs="Arial" w:eastAsia="Arial" w:hAnsi="Arial"/>
          <w:i/>
          <w:iCs/>
          <w:color w:val="555555"/>
          <w:sz w:val="22"/>
          <w:szCs w:val="22"/>
        </w:rPr>
        <w:t xml:space="preserve">Criterion 004 – 25 marks</w:t>
      </w:r>
    </w:p>
    <w:p>
      <w:pPr>
        <w:pStyle w:val="Heading2"/>
        <w:spacing w:after="120" w:before="280"/>
      </w:pPr>
      <w:r>
        <w:rPr>
          <w:rFonts w:ascii="Arial" w:cs="Arial" w:eastAsia="Arial" w:hAnsi="Arial"/>
          <w:b/>
          <w:bCs/>
          <w:sz w:val="28"/>
          <w:szCs w:val="28"/>
        </w:rPr>
        <w:t xml:space="preserve">4.1 Evaluation Methodology</w:t>
      </w:r>
    </w:p>
    <w:p>
      <w:pPr>
        <w:spacing w:after="160" w:line="276"/>
        <w:jc w:val="both"/>
      </w:pPr>
      <w:r>
        <w:rPr>
          <w:rFonts w:ascii="Arial" w:cs="Arial" w:eastAsia="Arial" w:hAnsi="Arial"/>
          <w:sz w:val="24"/>
          <w:szCs w:val="24"/>
        </w:rPr>
        <w:t xml:space="preserve">Formal evaluation of RAG systems is an active research area. This project implements a two-tier evaluation approach combining lightweight proxy metrics (Tier 1) with RAGAS automated evaluation (Tier 2).</w:t>
      </w:r>
    </w:p>
    <w:p>
      <w:pPr>
        <w:pStyle w:val="Heading3"/>
        <w:spacing w:after="100" w:before="200"/>
      </w:pPr>
      <w:r>
        <w:rPr>
          <w:rFonts w:ascii="Arial" w:cs="Arial" w:eastAsia="Arial" w:hAnsi="Arial"/>
          <w:b/>
          <w:bCs/>
          <w:sz w:val="24"/>
          <w:szCs w:val="24"/>
        </w:rPr>
        <w:t xml:space="preserve">4.1.1 Tier 1: Lightweight Proxy Metrics</w:t>
      </w:r>
    </w:p>
    <w:p>
      <w:pPr>
        <w:spacing w:after="160" w:line="276"/>
        <w:jc w:val="both"/>
      </w:pPr>
      <w:r>
        <w:rPr>
          <w:rFonts w:ascii="Arial" w:cs="Arial" w:eastAsia="Arial" w:hAnsi="Arial"/>
          <w:sz w:val="24"/>
          <w:szCs w:val="24"/>
        </w:rPr>
        <w:t xml:space="preserve">Proxy metrics require no human-annotated gold answers and can be computed automatically for any test question. Four metrics are used: Keyword Coverage Score (fraction of expected answer keywords present in the generated answer), Source Citation Rate (whether at least one grounded source document was returned), Response Time (end-to-end pipeline latency in seconds), and Answer Word Count (conciseness measure).</w:t>
      </w:r>
    </w:p>
    <w:p>
      <w:pPr>
        <w:spacing w:after="0"/>
      </w:pPr>
      <w:r>
        <w:t xml:space="preserve"/>
      </w:r>
    </w:p>
    <w:p>
      <w:pPr>
        <w:spacing w:after="160" w:line="276"/>
        <w:jc w:val="both"/>
      </w:pPr>
      <w:r>
        <w:rPr>
          <w:rFonts w:ascii="Arial" w:cs="Arial" w:eastAsia="Arial" w:hAnsi="Arial"/>
          <w:sz w:val="24"/>
          <w:szCs w:val="24"/>
        </w:rPr>
        <w:t xml:space="preserve">The Keyword Coverage Score is defined as:</w:t>
      </w:r>
    </w:p>
    <w:p>
      <w:pPr>
        <w:spacing w:after="0"/>
      </w:pPr>
      <w:r>
        <w:t xml:space="preserve"/>
      </w:r>
    </w:p>
    <w:p>
      <w:pPr>
        <w:spacing w:after="120"/>
        <w:ind w:left="720"/>
      </w:pPr>
      <w:r>
        <w:rPr>
          <w:rFonts w:ascii="Courier New" w:cs="Courier New" w:eastAsia="Courier New" w:hAnsi="Courier New"/>
          <w:sz w:val="22"/>
          <w:szCs w:val="22"/>
        </w:rPr>
        <w:t xml:space="preserve">keyword_coverage(answer, keywords) = |{kw ∈ keywords : kw in answer}| / |keywords|</w:t>
      </w:r>
    </w:p>
    <w:p>
      <w:pPr>
        <w:spacing w:after="0"/>
      </w:pPr>
      <w:r>
        <w:t xml:space="preserve"/>
      </w:r>
    </w:p>
    <w:p>
      <w:pPr>
        <w:spacing w:after="160" w:line="276"/>
        <w:jc w:val="both"/>
      </w:pPr>
      <w:r>
        <w:rPr>
          <w:rFonts w:ascii="Arial" w:cs="Arial" w:eastAsia="Arial" w:hAnsi="Arial"/>
          <w:sz w:val="24"/>
          <w:szCs w:val="24"/>
        </w:rPr>
        <w:t xml:space="preserve">For domain-specific factual questions (deadlines, policy penalties, mark allocations), the correct answer will contain specific expected terms. A high keyword coverage score indicates the system retrieved and correctly surfaced the relevant information. Limitation: this metric penalises paraphrased correct answers. For example, “twenty-five percent” and “25%” are semantically equivalent but would score differently under keyword matching.</w:t>
      </w:r>
    </w:p>
    <w:p>
      <w:pPr>
        <w:pStyle w:val="Heading3"/>
        <w:spacing w:after="100" w:before="200"/>
      </w:pPr>
      <w:r>
        <w:rPr>
          <w:rFonts w:ascii="Arial" w:cs="Arial" w:eastAsia="Arial" w:hAnsi="Arial"/>
          <w:b/>
          <w:bCs/>
          <w:sz w:val="24"/>
          <w:szCs w:val="24"/>
        </w:rPr>
        <w:t xml:space="preserve">4.1.2 Tier 2: RAGAS Automated Evaluation</w:t>
      </w:r>
    </w:p>
    <w:p>
      <w:pPr>
        <w:spacing w:after="160" w:line="276"/>
        <w:jc w:val="both"/>
      </w:pPr>
      <w:r>
        <w:rPr>
          <w:rFonts w:ascii="Arial" w:cs="Arial" w:eastAsia="Arial" w:hAnsi="Arial"/>
          <w:sz w:val="24"/>
          <w:szCs w:val="24"/>
        </w:rPr>
        <w:t xml:space="preserve">RAGAS (Retrieval-Augmented Generation Assessment) is a framework introduced by Es et al. (2023) that uses an LLM-as-judge approach to evaluate RAG systems without requiring manually annotated gold answers for all metrics. The following table summarises the four RAGAS metrics used in this project.</w:t>
      </w:r>
    </w:p>
    <w:p>
      <w:pPr>
        <w:spacing w:after="0"/>
      </w:pPr>
      <w:r>
        <w:t xml:space="preserve"/>
      </w:r>
    </w:p>
    <w:p>
      <w:pPr>
        <w:spacing w:after="80"/>
        <w:jc w:val="center"/>
      </w:pPr>
      <w:r>
        <w:rPr>
          <w:rFonts w:ascii="Arial" w:cs="Arial" w:eastAsia="Arial" w:hAnsi="Arial"/>
          <w:i/>
          <w:iCs/>
          <w:sz w:val="22"/>
          <w:szCs w:val="22"/>
        </w:rPr>
        <w:t xml:space="preserve">Table 2: RAGAS Evaluation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026"/>
        <w:gridCol w:w="2000"/>
      </w:tblGrid>
      <w:tr>
        <w:trPr>
          <w:tblHeader/>
        </w:trPr>
        <w:tc>
          <w:tcPr>
            <w:tcW w:type="dxa" w:w="1600"/>
            <w:tcBorders>
              <w:top w:val="single" w:color="AAAAAA" w:sz="4"/>
              <w:left w:val="single" w:color="AAAAAA" w:sz="4"/>
              <w:bottom w:val="single" w:color="AAAAAA" w:sz="4"/>
              <w:right w:val="single" w:color="AAAAAA" w:sz="4"/>
            </w:tcBorders>
            <w:shd w:fill="2E4057"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Metric</w:t>
            </w:r>
          </w:p>
        </w:tc>
        <w:tc>
          <w:tcPr>
            <w:tcW w:type="dxa" w:w="2400"/>
            <w:tcBorders>
              <w:top w:val="single" w:color="AAAAAA" w:sz="4"/>
              <w:left w:val="single" w:color="AAAAAA" w:sz="4"/>
              <w:bottom w:val="single" w:color="AAAAAA" w:sz="4"/>
              <w:right w:val="single" w:color="AAAAAA" w:sz="4"/>
            </w:tcBorders>
            <w:shd w:fill="2E4057"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Definition</w:t>
            </w:r>
          </w:p>
        </w:tc>
        <w:tc>
          <w:tcPr>
            <w:tcW w:type="dxa" w:w="3026"/>
            <w:tcBorders>
              <w:top w:val="single" w:color="AAAAAA" w:sz="4"/>
              <w:left w:val="single" w:color="AAAAAA" w:sz="4"/>
              <w:bottom w:val="single" w:color="AAAAAA" w:sz="4"/>
              <w:right w:val="single" w:color="AAAAAA" w:sz="4"/>
            </w:tcBorders>
            <w:shd w:fill="2E4057"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Interpretation</w:t>
            </w:r>
          </w:p>
        </w:tc>
        <w:tc>
          <w:tcPr>
            <w:tcW w:type="dxa" w:w="2000"/>
            <w:tcBorders>
              <w:top w:val="single" w:color="AAAAAA" w:sz="4"/>
              <w:left w:val="single" w:color="AAAAAA" w:sz="4"/>
              <w:bottom w:val="single" w:color="AAAAAA" w:sz="4"/>
              <w:right w:val="single" w:color="AAAAAA" w:sz="4"/>
            </w:tcBorders>
            <w:shd w:fill="2E4057" w:val="clear"/>
            <w:tcMar>
              <w:top w:type="dxa" w:w="100"/>
              <w:left w:type="dxa" w:w="150"/>
              <w:bottom w:type="dxa" w:w="100"/>
              <w:right w:type="dxa" w:w="150"/>
            </w:tcMar>
            <w:vAlign w:val="center"/>
          </w:tcPr>
          <w:p>
            <w:pPr>
              <w:spacing w:after="0" w:before="0"/>
              <w:jc w:val="left"/>
            </w:pPr>
            <w:r>
              <w:rPr>
                <w:rFonts w:ascii="Arial" w:cs="Arial" w:eastAsia="Arial" w:hAnsi="Arial"/>
                <w:b/>
                <w:bCs/>
                <w:color w:val="FFFFFF"/>
                <w:sz w:val="22"/>
                <w:szCs w:val="22"/>
              </w:rPr>
              <w:t xml:space="preserve">Ground Truth Required?</w:t>
            </w:r>
          </w:p>
        </w:tc>
      </w:tr>
      <w:tr>
        <w:tc>
          <w:tcPr>
            <w:tcW w:type="dxa" w:w="16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Faithfulness</w:t>
            </w:r>
          </w:p>
        </w:tc>
        <w:tc>
          <w:tcPr>
            <w:tcW w:type="dxa" w:w="24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Fraction of answer claims that are supported by the retrieved context</w:t>
            </w:r>
          </w:p>
        </w:tc>
        <w:tc>
          <w:tcPr>
            <w:tcW w:type="dxa" w:w="3026"/>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Score of 1.0 = fully grounded; 0.0 = answer contradicts or ignores context (hallucination)</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No</w:t>
            </w:r>
          </w:p>
        </w:tc>
      </w:tr>
      <w:tr>
        <w:tc>
          <w:tcPr>
            <w:tcW w:type="dxa" w:w="1600"/>
            <w:tcBorders>
              <w:top w:val="single" w:color="AAAAAA" w:sz="4"/>
              <w:left w:val="single" w:color="AAAAAA" w:sz="4"/>
              <w:bottom w:val="single" w:color="AAAAAA" w:sz="4"/>
              <w:right w:val="single" w:color="AAAAAA" w:sz="4"/>
            </w:tcBorders>
            <w:shd w:fill="EBF2FA"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Answer Relevancy</w:t>
            </w:r>
          </w:p>
        </w:tc>
        <w:tc>
          <w:tcPr>
            <w:tcW w:type="dxa" w:w="2400"/>
            <w:tcBorders>
              <w:top w:val="single" w:color="AAAAAA" w:sz="4"/>
              <w:left w:val="single" w:color="AAAAAA" w:sz="4"/>
              <w:bottom w:val="single" w:color="AAAAAA" w:sz="4"/>
              <w:right w:val="single" w:color="AAAAAA" w:sz="4"/>
            </w:tcBorders>
            <w:shd w:fill="EBF2FA"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Semantic alignment between the generated answer and the original question</w:t>
            </w:r>
          </w:p>
        </w:tc>
        <w:tc>
          <w:tcPr>
            <w:tcW w:type="dxa" w:w="3026"/>
            <w:tcBorders>
              <w:top w:val="single" w:color="AAAAAA" w:sz="4"/>
              <w:left w:val="single" w:color="AAAAAA" w:sz="4"/>
              <w:bottom w:val="single" w:color="AAAAAA" w:sz="4"/>
              <w:right w:val="single" w:color="AAAAAA" w:sz="4"/>
            </w:tcBorders>
            <w:shd w:fill="EBF2FA"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Score near 1.0 = answer directly addresses the question; low score = off-topic answer</w:t>
            </w:r>
          </w:p>
        </w:tc>
        <w:tc>
          <w:tcPr>
            <w:tcW w:type="dxa" w:w="2000"/>
            <w:tcBorders>
              <w:top w:val="single" w:color="AAAAAA" w:sz="4"/>
              <w:left w:val="single" w:color="AAAAAA" w:sz="4"/>
              <w:bottom w:val="single" w:color="AAAAAA" w:sz="4"/>
              <w:right w:val="single" w:color="AAAAAA" w:sz="4"/>
            </w:tcBorders>
            <w:shd w:fill="EBF2FA"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No</w:t>
            </w:r>
          </w:p>
        </w:tc>
      </w:tr>
      <w:tr>
        <w:tc>
          <w:tcPr>
            <w:tcW w:type="dxa" w:w="16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Context Precision</w:t>
            </w:r>
          </w:p>
        </w:tc>
        <w:tc>
          <w:tcPr>
            <w:tcW w:type="dxa" w:w="24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Whether the most relevant retrieved chunks are ranked highest by the retriever</w:t>
            </w:r>
          </w:p>
        </w:tc>
        <w:tc>
          <w:tcPr>
            <w:tcW w:type="dxa" w:w="3026"/>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High score = reranker surfaces best chunks first; low score suggests reranking needed</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Yes (ground_truth)</w:t>
            </w:r>
          </w:p>
        </w:tc>
      </w:tr>
      <w:tr>
        <w:tc>
          <w:tcPr>
            <w:tcW w:type="dxa" w:w="1600"/>
            <w:tcBorders>
              <w:top w:val="single" w:color="AAAAAA" w:sz="4"/>
              <w:left w:val="single" w:color="AAAAAA" w:sz="4"/>
              <w:bottom w:val="single" w:color="AAAAAA" w:sz="4"/>
              <w:right w:val="single" w:color="AAAAAA" w:sz="4"/>
            </w:tcBorders>
            <w:shd w:fill="EBF2FA"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Context Recall</w:t>
            </w:r>
          </w:p>
        </w:tc>
        <w:tc>
          <w:tcPr>
            <w:tcW w:type="dxa" w:w="2400"/>
            <w:tcBorders>
              <w:top w:val="single" w:color="AAAAAA" w:sz="4"/>
              <w:left w:val="single" w:color="AAAAAA" w:sz="4"/>
              <w:bottom w:val="single" w:color="AAAAAA" w:sz="4"/>
              <w:right w:val="single" w:color="AAAAAA" w:sz="4"/>
            </w:tcBorders>
            <w:shd w:fill="EBF2FA"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Whether the retrieved context covers all information needed to answer the question</w:t>
            </w:r>
          </w:p>
        </w:tc>
        <w:tc>
          <w:tcPr>
            <w:tcW w:type="dxa" w:w="3026"/>
            <w:tcBorders>
              <w:top w:val="single" w:color="AAAAAA" w:sz="4"/>
              <w:left w:val="single" w:color="AAAAAA" w:sz="4"/>
              <w:bottom w:val="single" w:color="AAAAAA" w:sz="4"/>
              <w:right w:val="single" w:color="AAAAAA" w:sz="4"/>
            </w:tcBorders>
            <w:shd w:fill="EBF2FA"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High score = retriever captures all necessary information; low = retriever misses key chunks</w:t>
            </w:r>
          </w:p>
        </w:tc>
        <w:tc>
          <w:tcPr>
            <w:tcW w:type="dxa" w:w="2000"/>
            <w:tcBorders>
              <w:top w:val="single" w:color="AAAAAA" w:sz="4"/>
              <w:left w:val="single" w:color="AAAAAA" w:sz="4"/>
              <w:bottom w:val="single" w:color="AAAAAA" w:sz="4"/>
              <w:right w:val="single" w:color="AAAAAA" w:sz="4"/>
            </w:tcBorders>
            <w:shd w:fill="EBF2FA"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Yes (ground_truth)</w:t>
            </w:r>
          </w:p>
        </w:tc>
      </w:tr>
    </w:tbl>
    <w:p>
      <w:pPr>
        <w:spacing w:after="0"/>
      </w:pPr>
      <w:r>
        <w:t xml:space="preserve"/>
      </w:r>
    </w:p>
    <w:p>
      <w:pPr>
        <w:pStyle w:val="Heading2"/>
        <w:spacing w:after="120" w:before="280"/>
      </w:pPr>
      <w:r>
        <w:rPr>
          <w:rFonts w:ascii="Arial" w:cs="Arial" w:eastAsia="Arial" w:hAnsi="Arial"/>
          <w:b/>
          <w:bCs/>
          <w:sz w:val="28"/>
          <w:szCs w:val="28"/>
        </w:rPr>
        <w:t xml:space="preserve">4.2 Evaluation Results</w:t>
      </w:r>
    </w:p>
    <w:p>
      <w:pPr>
        <w:spacing w:after="160" w:line="276"/>
        <w:jc w:val="both"/>
      </w:pPr>
      <w:r>
        <w:rPr>
          <w:rFonts w:ascii="Arial" w:cs="Arial" w:eastAsia="Arial" w:hAnsi="Arial"/>
          <w:sz w:val="24"/>
          <w:szCs w:val="24"/>
        </w:rPr>
        <w:t xml:space="preserve">The evaluation was conducted on a test set of 51 questions spanning five categories: NLP Submission Policy, Assessment Details, Academic Integrity, Late Submission, and Technical Requirements. The full results are stored in evaluation_results.json.</w:t>
      </w:r>
    </w:p>
    <w:p>
      <w:pPr>
        <w:spacing w:after="0"/>
      </w:pPr>
      <w:r>
        <w:t xml:space="preserve"/>
      </w:r>
    </w:p>
    <w:p>
      <w:pPr>
        <w:spacing w:after="160" w:line="276"/>
        <w:jc w:val="both"/>
      </w:pPr>
      <w:r>
        <w:rPr>
          <w:rFonts w:ascii="Arial" w:cs="Arial" w:eastAsia="Arial" w:hAnsi="Arial"/>
          <w:sz w:val="24"/>
          <w:szCs w:val="24"/>
        </w:rPr>
        <w:t xml:space="preserve">Proxy Metric Results (from evaluation_results.json metadata):</w:t>
      </w:r>
    </w:p>
    <w:p>
      <w:pPr>
        <w:pStyle w:val="ListParagraph"/>
        <w:numPr>
          <w:ilvl w:val="0"/>
          <w:numId w:val="2"/>
        </w:numPr>
        <w:spacing w:after="120"/>
      </w:pPr>
      <w:r>
        <w:rPr>
          <w:rFonts w:ascii="Arial" w:cs="Arial" w:eastAsia="Arial" w:hAnsi="Arial"/>
          <w:sz w:val="24"/>
          <w:szCs w:val="24"/>
        </w:rPr>
        <w:t xml:space="preserve">Total Questions Evaluated: 51</w:t>
      </w:r>
    </w:p>
    <w:p>
      <w:pPr>
        <w:pStyle w:val="ListParagraph"/>
        <w:numPr>
          <w:ilvl w:val="0"/>
          <w:numId w:val="2"/>
        </w:numPr>
        <w:spacing w:after="120"/>
      </w:pPr>
      <w:r>
        <w:rPr>
          <w:rFonts w:ascii="Arial" w:cs="Arial" w:eastAsia="Arial" w:hAnsi="Arial"/>
          <w:sz w:val="24"/>
          <w:szCs w:val="24"/>
        </w:rPr>
        <w:t xml:space="preserve">Average Keyword Coverage Score: 60.3%</w:t>
      </w:r>
    </w:p>
    <w:p>
      <w:pPr>
        <w:pStyle w:val="ListParagraph"/>
        <w:numPr>
          <w:ilvl w:val="0"/>
          <w:numId w:val="2"/>
        </w:numPr>
        <w:spacing w:after="120"/>
      </w:pPr>
      <w:r>
        <w:rPr>
          <w:rFonts w:ascii="Arial" w:cs="Arial" w:eastAsia="Arial" w:hAnsi="Arial"/>
          <w:sz w:val="24"/>
          <w:szCs w:val="24"/>
        </w:rPr>
        <w:t xml:space="preserve">Average Response Time: 1.35 seconds</w:t>
      </w:r>
    </w:p>
    <w:p>
      <w:pPr>
        <w:pStyle w:val="ListParagraph"/>
        <w:numPr>
          <w:ilvl w:val="0"/>
          <w:numId w:val="2"/>
        </w:numPr>
        <w:spacing w:after="120"/>
      </w:pPr>
      <w:r>
        <w:rPr>
          <w:rFonts w:ascii="Arial" w:cs="Arial" w:eastAsia="Arial" w:hAnsi="Arial"/>
          <w:sz w:val="24"/>
          <w:szCs w:val="24"/>
        </w:rPr>
        <w:t xml:space="preserve">Source Citation Rate: 100%</w:t>
      </w:r>
    </w:p>
    <w:p>
      <w:pPr>
        <w:spacing w:after="0"/>
      </w:pPr>
      <w:r>
        <w:t xml:space="preserve"/>
      </w:r>
    </w:p>
    <w:p>
      <w:pPr>
        <w:spacing w:after="160" w:line="276"/>
        <w:jc w:val="both"/>
      </w:pPr>
      <w:r>
        <w:rPr>
          <w:rFonts w:ascii="Arial" w:cs="Arial" w:eastAsia="Arial" w:hAnsi="Arial"/>
          <w:sz w:val="24"/>
          <w:szCs w:val="24"/>
        </w:rPr>
        <w:t xml:space="preserve">The 100% source citation rate confirms that every RAG response returned at least one grounded source document, providing full answer auditability. The average keyword coverage of 60.3% indicates that the system correctly includes the majority of expected answer terms, though there is room for improvement. The 1.35-second average response time is acceptable for a knowledge base chatbot use case.</w:t>
      </w:r>
    </w:p>
    <w:p>
      <w:pPr>
        <w:pStyle w:val="Heading2"/>
        <w:spacing w:after="120" w:before="280"/>
      </w:pPr>
      <w:r>
        <w:rPr>
          <w:rFonts w:ascii="Arial" w:cs="Arial" w:eastAsia="Arial" w:hAnsi="Arial"/>
          <w:b/>
          <w:bCs/>
          <w:sz w:val="28"/>
          <w:szCs w:val="28"/>
        </w:rPr>
        <w:t xml:space="preserve">4.3 Key Finding: Reranker Impact on Subject-Specific Retrieval</w:t>
      </w:r>
    </w:p>
    <w:p>
      <w:pPr>
        <w:spacing w:after="160" w:line="276"/>
        <w:jc w:val="both"/>
      </w:pPr>
      <w:r>
        <w:rPr>
          <w:rFonts w:ascii="Arial" w:cs="Arial" w:eastAsia="Arial" w:hAnsi="Arial"/>
          <w:sz w:val="24"/>
          <w:szCs w:val="24"/>
        </w:rPr>
        <w:t xml:space="preserve">The most significant qualitative finding from this evaluation concerns the impact of the cross-encoder reranker on subject-specific retrieval precision.</w:t>
      </w:r>
    </w:p>
    <w:p>
      <w:pPr>
        <w:spacing w:after="0"/>
      </w:pPr>
      <w:r>
        <w:t xml:space="preserve"/>
      </w:r>
    </w:p>
    <w:p>
      <w:pPr>
        <w:spacing w:after="160" w:line="276"/>
        <w:jc w:val="both"/>
      </w:pPr>
      <w:r>
        <w:rPr>
          <w:rFonts w:ascii="Arial" w:cs="Arial" w:eastAsia="Arial" w:hAnsi="Arial"/>
          <w:sz w:val="24"/>
          <w:szCs w:val="24"/>
        </w:rPr>
        <w:t xml:space="preserve">Before enabling the cross-encoder reranker, the query “What is the submission deadline for the NLP CA2 assignment?” consistently retrieved chunks from the ML module PDF and the Recommender Systems PDF rather than the NLP PDF. This occurred because the bi-encoder embeds the query independently of the documents, matching on generic semantic similarity. The phrase “submission deadline” has similar embedding representations across all subject PDFs, causing the bi-encoder to retrieve the three nearest document chunks regardless of which module they belong to.</w:t>
      </w:r>
    </w:p>
    <w:p>
      <w:pPr>
        <w:spacing w:after="0"/>
      </w:pPr>
      <w:r>
        <w:t xml:space="preserve"/>
      </w:r>
    </w:p>
    <w:p>
      <w:pPr>
        <w:spacing w:after="160" w:line="276"/>
        <w:jc w:val="both"/>
      </w:pPr>
      <w:r>
        <w:rPr>
          <w:rFonts w:ascii="Arial" w:cs="Arial" w:eastAsia="Arial" w:hAnsi="Arial"/>
          <w:sz w:val="24"/>
          <w:szCs w:val="24"/>
        </w:rPr>
        <w:t xml:space="preserve">After enabling the cross-encoder reranker, the pipeline correctly prioritised NLP-specific chunks. The cross-encoder reads the full (query, chunk) pair jointly, allowing it to recognise that “NLP CA2” in the query is a strong signal for the NLP document context, even if the generic word “submission deadline” appears in multiple documents. This demonstrates that two-stage retrieval is not merely an incremental improvement but is qualitatively necessary for multi-document corpora where the same generic phrases appear across multiple domain-specific documents.</w:t>
      </w:r>
    </w:p>
    <w:p>
      <w:pPr>
        <w:pStyle w:val="Heading2"/>
        <w:spacing w:after="120" w:before="280"/>
      </w:pPr>
      <w:r>
        <w:rPr>
          <w:rFonts w:ascii="Arial" w:cs="Arial" w:eastAsia="Arial" w:hAnsi="Arial"/>
          <w:b/>
          <w:bCs/>
          <w:sz w:val="28"/>
          <w:szCs w:val="28"/>
        </w:rPr>
        <w:t xml:space="preserve">4.4 Limitations and Recommendations</w:t>
      </w:r>
    </w:p>
    <w:p>
      <w:pPr>
        <w:spacing w:after="160" w:line="276"/>
        <w:jc w:val="both"/>
      </w:pPr>
      <w:r>
        <w:rPr>
          <w:rFonts w:ascii="Arial" w:cs="Arial" w:eastAsia="Arial" w:hAnsi="Arial"/>
          <w:sz w:val="24"/>
          <w:szCs w:val="24"/>
        </w:rPr>
        <w:t xml:space="preserve">Limitations of this evaluation:</w:t>
      </w:r>
    </w:p>
    <w:p>
      <w:pPr>
        <w:pStyle w:val="ListParagraph"/>
        <w:numPr>
          <w:ilvl w:val="0"/>
          <w:numId w:val="2"/>
        </w:numPr>
        <w:spacing w:after="120"/>
      </w:pPr>
      <w:r>
        <w:rPr>
          <w:rFonts w:ascii="Arial" w:cs="Arial" w:eastAsia="Arial" w:hAnsi="Arial"/>
          <w:sz w:val="24"/>
          <w:szCs w:val="24"/>
        </w:rPr>
        <w:t xml:space="preserve">No human evaluation: keyword matching is a coarse proxy. Manual expert rating of answer quality would provide a more reliable signal.</w:t>
      </w:r>
    </w:p>
    <w:p>
      <w:pPr>
        <w:pStyle w:val="ListParagraph"/>
        <w:numPr>
          <w:ilvl w:val="0"/>
          <w:numId w:val="2"/>
        </w:numPr>
        <w:spacing w:after="120"/>
      </w:pPr>
      <w:r>
        <w:rPr>
          <w:rFonts w:ascii="Arial" w:cs="Arial" w:eastAsia="Arial" w:hAnsi="Arial"/>
          <w:sz w:val="24"/>
          <w:szCs w:val="24"/>
        </w:rPr>
        <w:t xml:space="preserve">Small test set relative to production requirements: 51 questions covers the main question categories but limits statistical significance. A robust evaluation would use 100+ questions per category.</w:t>
      </w:r>
    </w:p>
    <w:p>
      <w:pPr>
        <w:pStyle w:val="ListParagraph"/>
        <w:numPr>
          <w:ilvl w:val="0"/>
          <w:numId w:val="2"/>
        </w:numPr>
        <w:spacing w:after="120"/>
      </w:pPr>
      <w:r>
        <w:rPr>
          <w:rFonts w:ascii="Arial" w:cs="Arial" w:eastAsia="Arial" w:hAnsi="Arial"/>
          <w:sz w:val="24"/>
          <w:szCs w:val="24"/>
        </w:rPr>
        <w:t xml:space="preserve">Single-domain corpus: the knowledge base currently contains only the NLP CA2 assessment brief PDF. Adding more documents (module guide, student handbook, academic calendar) would stress-test retrieval more thoroughly and expose cross-document ambiguity issues.</w:t>
      </w:r>
    </w:p>
    <w:p>
      <w:pPr>
        <w:pStyle w:val="ListParagraph"/>
        <w:numPr>
          <w:ilvl w:val="0"/>
          <w:numId w:val="2"/>
        </w:numPr>
        <w:spacing w:after="120"/>
      </w:pPr>
      <w:r>
        <w:rPr>
          <w:rFonts w:ascii="Arial" w:cs="Arial" w:eastAsia="Arial" w:hAnsi="Arial"/>
          <w:sz w:val="24"/>
          <w:szCs w:val="24"/>
        </w:rPr>
        <w:t xml:space="preserve">No adversarial testing: questions deliberately designed to confuse the system (ambiguous compound questions, negation, hypothetical scenarios) were not included.</w:t>
      </w:r>
    </w:p>
    <w:p>
      <w:pPr>
        <w:spacing w:after="0"/>
      </w:pPr>
      <w:r>
        <w:t xml:space="preserve"/>
      </w:r>
    </w:p>
    <w:p>
      <w:pPr>
        <w:spacing w:after="160" w:line="276"/>
        <w:jc w:val="both"/>
      </w:pPr>
      <w:r>
        <w:rPr>
          <w:rFonts w:ascii="Arial" w:cs="Arial" w:eastAsia="Arial" w:hAnsi="Arial"/>
          <w:sz w:val="24"/>
          <w:szCs w:val="24"/>
        </w:rPr>
        <w:t xml:space="preserve">Recommendations for improvement:</w:t>
      </w:r>
    </w:p>
    <w:p>
      <w:pPr>
        <w:pStyle w:val="ListParagraph"/>
        <w:numPr>
          <w:ilvl w:val="0"/>
          <w:numId w:val="3"/>
        </w:numPr>
        <w:spacing w:after="120"/>
      </w:pPr>
      <w:r>
        <w:rPr>
          <w:rFonts w:ascii="Arial" w:cs="Arial" w:eastAsia="Arial" w:hAnsi="Arial"/>
          <w:sz w:val="24"/>
          <w:szCs w:val="24"/>
        </w:rPr>
        <w:t xml:space="preserve">Hybrid search: Combine dense (semantic) and sparse (BM25) retrieval to improve precision on keyword-heavy queries such as exact deadline dates and specific mark allocations.</w:t>
      </w:r>
    </w:p>
    <w:p>
      <w:pPr>
        <w:pStyle w:val="ListParagraph"/>
        <w:numPr>
          <w:ilvl w:val="0"/>
          <w:numId w:val="3"/>
        </w:numPr>
        <w:spacing w:after="120"/>
      </w:pPr>
      <w:r>
        <w:rPr>
          <w:rFonts w:ascii="Arial" w:cs="Arial" w:eastAsia="Arial" w:hAnsi="Arial"/>
          <w:sz w:val="24"/>
          <w:szCs w:val="24"/>
        </w:rPr>
        <w:t xml:space="preserve">RAGAS evaluation with ground truth: Add ground_truth reference answers to the test set to enable Context Precision and Context Recall metrics, providing a more complete picture of retrieval quality.</w:t>
      </w:r>
    </w:p>
    <w:p>
      <w:pPr>
        <w:pStyle w:val="ListParagraph"/>
        <w:numPr>
          <w:ilvl w:val="0"/>
          <w:numId w:val="3"/>
        </w:numPr>
        <w:spacing w:after="120"/>
      </w:pPr>
      <w:r>
        <w:rPr>
          <w:rFonts w:ascii="Arial" w:cs="Arial" w:eastAsia="Arial" w:hAnsi="Arial"/>
          <w:sz w:val="24"/>
          <w:szCs w:val="24"/>
        </w:rPr>
        <w:t xml:space="preserve">Fine-tuned embeddings: Fine-tune the embedding model on university-domain text to reduce the semantic gap for institutional terminology.</w:t>
      </w:r>
    </w:p>
    <w:p>
      <w:pPr>
        <w:pStyle w:val="ListParagraph"/>
        <w:numPr>
          <w:ilvl w:val="0"/>
          <w:numId w:val="3"/>
        </w:numPr>
        <w:spacing w:after="120"/>
      </w:pPr>
      <w:r>
        <w:rPr>
          <w:rFonts w:ascii="Arial" w:cs="Arial" w:eastAsia="Arial" w:hAnsi="Arial"/>
          <w:sz w:val="24"/>
          <w:szCs w:val="24"/>
        </w:rPr>
        <w:t xml:space="preserve">Expanded knowledge base: Ingest multiple university documents (module guides, student handbook, academic regulations) to create a comprehensive institutional knowledge base.</w:t>
      </w:r>
    </w:p>
    <w:p>
      <w:pPr>
        <w:spacing w:after="0"/>
      </w:pPr>
      <w:r>
        <w:t xml:space="preserve"/>
      </w:r>
    </w:p>
    <w:p>
      <w:pPr>
        <w:pStyle w:val="Heading1"/>
        <w:spacing w:after="160" w:before="360"/>
      </w:pPr>
      <w:r>
        <w:rPr>
          <w:rFonts w:ascii="Arial" w:cs="Arial" w:eastAsia="Arial" w:hAnsi="Arial"/>
          <w:b/>
          <w:bCs/>
          <w:sz w:val="32"/>
          <w:szCs w:val="32"/>
        </w:rPr>
        <w:t xml:space="preserve">5. Conclusion</w:t>
      </w:r>
    </w:p>
    <w:p>
      <w:pPr>
        <w:spacing w:after="160" w:line="276"/>
        <w:jc w:val="both"/>
      </w:pPr>
      <w:r>
        <w:rPr>
          <w:rFonts w:ascii="Arial" w:cs="Arial" w:eastAsia="Arial" w:hAnsi="Arial"/>
          <w:sz w:val="24"/>
          <w:szCs w:val="24"/>
        </w:rPr>
        <w:t xml:space="preserve">This report has documented the design, implementation, and evaluation of a Retrieval-Augmented Generation chatbot for a university knowledge base. The system demonstrates that RAG is a well-suited architecture for institutional question answering: it provides factual grounding through source attribution, reduces hallucination through context-constrained generation, and offers inherent explainability advantages over pure generative approaches.</w:t>
      </w:r>
    </w:p>
    <w:p>
      <w:pPr>
        <w:spacing w:after="0"/>
      </w:pPr>
      <w:r>
        <w:t xml:space="preserve"/>
      </w:r>
    </w:p>
    <w:p>
      <w:pPr>
        <w:spacing w:after="160" w:line="276"/>
        <w:jc w:val="both"/>
      </w:pPr>
      <w:r>
        <w:rPr>
          <w:rFonts w:ascii="Arial" w:cs="Arial" w:eastAsia="Arial" w:hAnsi="Arial"/>
          <w:sz w:val="24"/>
          <w:szCs w:val="24"/>
        </w:rPr>
        <w:t xml:space="preserve">The two-stage retrieval architecture — combining FAISS bi-encoder retrieval with cross-encoder reranking — proved qualitatively important for multi-document corpora, where generic phrases such as “submission deadline” appear across multiple subject-specific documents. The cross-encoder’s ability to jointly reason over (query, chunk) pairs resolved retrieval ambiguity that the bi-encoder alone could not address.</w:t>
      </w:r>
    </w:p>
    <w:p>
      <w:pPr>
        <w:spacing w:after="0"/>
      </w:pPr>
      <w:r>
        <w:t xml:space="preserve"/>
      </w:r>
    </w:p>
    <w:p>
      <w:pPr>
        <w:spacing w:after="160" w:line="276"/>
        <w:jc w:val="both"/>
      </w:pPr>
      <w:r>
        <w:rPr>
          <w:rFonts w:ascii="Arial" w:cs="Arial" w:eastAsia="Arial" w:hAnsi="Arial"/>
          <w:sz w:val="24"/>
          <w:szCs w:val="24"/>
        </w:rPr>
        <w:t xml:space="preserve">The evaluation results (60.3% average keyword coverage, 100% source citation rate, 1.35s average response time) provide a baseline for future improvement. Recommendations include hybrid search integration, expanded knowledge base coverage, and RAGAS evaluation with ground truth annotations.</w:t>
      </w:r>
    </w:p>
    <w:p>
      <w:pPr>
        <w:spacing w:after="0"/>
      </w:pPr>
      <w:r>
        <w:t xml:space="preserve"/>
      </w:r>
    </w:p>
    <w:p>
      <w:pPr>
        <w:spacing w:after="160" w:line="276"/>
        <w:jc w:val="both"/>
      </w:pPr>
      <w:r>
        <w:rPr>
          <w:rFonts w:ascii="Arial" w:cs="Arial" w:eastAsia="Arial" w:hAnsi="Arial"/>
          <w:sz w:val="24"/>
          <w:szCs w:val="24"/>
        </w:rPr>
        <w:t xml:space="preserve">From an AI principles perspective, the system demonstrates that transparency and explainability can be built into the architecture through source attribution and constrained generation, rather than added as post-hoc features. However, document bias and embedding bias remain important considerations for any production institutional deployment, requiring ongoing auditing and feedback mechanisms.</w:t>
      </w:r>
    </w:p>
    <w:p>
      <w:pPr>
        <w:spacing w:after="0"/>
      </w:pPr>
      <w:r>
        <w:t xml:space="preserve"/>
      </w:r>
    </w:p>
    <w:p>
      <w:pPr>
        <w:pStyle w:val="Heading1"/>
        <w:spacing w:after="160" w:before="360"/>
      </w:pPr>
      <w:r>
        <w:rPr>
          <w:rFonts w:ascii="Arial" w:cs="Arial" w:eastAsia="Arial" w:hAnsi="Arial"/>
          <w:b/>
          <w:bCs/>
          <w:sz w:val="32"/>
          <w:szCs w:val="32"/>
        </w:rPr>
        <w:t xml:space="preserve">6. References</w:t>
      </w:r>
    </w:p>
    <w:p>
      <w:pPr>
        <w:spacing w:after="160"/>
        <w:ind w:left="720" w:hanging="720"/>
      </w:pPr>
      <w:r>
        <w:rPr>
          <w:rFonts w:ascii="Arial" w:cs="Arial" w:eastAsia="Arial" w:hAnsi="Arial"/>
          <w:sz w:val="24"/>
          <w:szCs w:val="24"/>
        </w:rPr>
        <w:t xml:space="preserve">Anthropic. (2024). Claude 3 model card. Anthropic. https://www.anthropic.com/claude</w:t>
      </w:r>
    </w:p>
    <w:p>
      <w:pPr>
        <w:spacing w:after="160"/>
        <w:ind w:left="720" w:hanging="720"/>
      </w:pPr>
      <w:r>
        <w:rPr>
          <w:rFonts w:ascii="Arial" w:cs="Arial" w:eastAsia="Arial" w:hAnsi="Arial"/>
          <w:sz w:val="24"/>
          <w:szCs w:val="24"/>
        </w:rPr>
        <w:t xml:space="preserve">Es, S., James, J., Espinosa-Anke, L., &amp; Schockaert, S. (2023). RAGAS: Automated evaluation of retrieval augmented generation. arXiv preprint arXiv:2309.15217.</w:t>
      </w:r>
    </w:p>
    <w:p>
      <w:pPr>
        <w:spacing w:after="160"/>
        <w:ind w:left="720" w:hanging="720"/>
      </w:pPr>
      <w:r>
        <w:rPr>
          <w:rFonts w:ascii="Arial" w:cs="Arial" w:eastAsia="Arial" w:hAnsi="Arial"/>
          <w:sz w:val="24"/>
          <w:szCs w:val="24"/>
        </w:rPr>
        <w:t xml:space="preserve">Johnson, J., Douze, M., &amp; Jégou, H. (2019). Billion-scale similarity search with GPUs. IEEE Transactions on Big Data, 7(3), 535–547.</w:t>
      </w:r>
    </w:p>
    <w:p>
      <w:pPr>
        <w:spacing w:after="160"/>
        <w:ind w:left="720" w:hanging="720"/>
      </w:pPr>
      <w:r>
        <w:rPr>
          <w:rFonts w:ascii="Arial" w:cs="Arial" w:eastAsia="Arial" w:hAnsi="Arial"/>
          <w:sz w:val="24"/>
          <w:szCs w:val="24"/>
        </w:rPr>
        <w:t xml:space="preserve">LangChain. (2024). LangChain documentation. https://python.langchain.com</w:t>
      </w:r>
    </w:p>
    <w:p>
      <w:pPr>
        <w:spacing w:after="160"/>
        <w:ind w:left="720" w:hanging="720"/>
      </w:pPr>
      <w:r>
        <w:rPr>
          <w:rFonts w:ascii="Arial" w:cs="Arial" w:eastAsia="Arial" w:hAnsi="Arial"/>
          <w:sz w:val="24"/>
          <w:szCs w:val="24"/>
        </w:rPr>
        <w:t xml:space="preserve">Lewis, P., Perez, E., Piktus, A., Petroni, F., Karpukhin, V., Goyal, N., ... &amp; Kiela, D. (2020). Retrieval-augmented generation for knowledge-intensive NLP tasks. Advances in Neural Information Processing Systems, 33, 9459–9474.</w:t>
      </w:r>
    </w:p>
    <w:p>
      <w:pPr>
        <w:spacing w:after="160"/>
        <w:ind w:left="720" w:hanging="720"/>
      </w:pPr>
      <w:r>
        <w:rPr>
          <w:rFonts w:ascii="Arial" w:cs="Arial" w:eastAsia="Arial" w:hAnsi="Arial"/>
          <w:sz w:val="24"/>
          <w:szCs w:val="24"/>
        </w:rPr>
        <w:t xml:space="preserve">Reimers, N., &amp; Gurevych, I. (2019). Sentence-BERT: Sentence embeddings using siamese BERT-networks. Proceedings of the 2019 Conference on Empirical Methods in Natural Language Processing (EMNLP).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spacing w:before="80"/>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spacing w:after="120"/>
      <w:jc w:val="right"/>
    </w:pPr>
    <w:r>
      <w:rPr>
        <w:rFonts w:ascii="Arial" w:cs="Arial" w:eastAsia="Arial" w:hAnsi="Arial"/>
        <w:color w:val="555555"/>
        <w:sz w:val="18"/>
        <w:szCs w:val="18"/>
      </w:rPr>
      <w:t xml:space="preserve">Dublin Business School | NLP Module B9AI006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405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2026-04-13T13:11:57.081Z</dcterms:created>
  <dcterms:modified xsi:type="dcterms:W3CDTF">2026-04-13T13:11:57.100Z</dcterms:modified>
</cp:coreProperties>
</file>

<file path=docProps/custom.xml><?xml version="1.0" encoding="utf-8"?>
<Properties xmlns="http://schemas.openxmlformats.org/officeDocument/2006/custom-properties" xmlns:vt="http://schemas.openxmlformats.org/officeDocument/2006/docPropsVTypes"/>
</file>