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4E79"/>
          <w:sz w:val="36"/>
          <w:szCs w:val="36"/>
        </w:rPr>
        <w:t xml:space="preserve">Detailed Code Analysis Document</w:t>
      </w:r>
    </w:p>
    <w:p>
      <w:pPr>
        <w:spacing w:after="120" w:before="0"/>
        <w:jc w:val="center"/>
      </w:pPr>
      <w:r>
        <w:rPr>
          <w:rFonts w:ascii="Arial" w:cs="Arial" w:eastAsia="Arial" w:hAnsi="Arial"/>
          <w:color w:val="2E75B6"/>
          <w:sz w:val="24"/>
          <w:szCs w:val="24"/>
        </w:rPr>
        <w:t xml:space="preserve">CA2 — GAT + LLM Hybrid Movie Recommender System</w:t>
      </w:r>
    </w:p>
    <w:p>
      <w:pPr>
        <w:spacing w:after="480" w:before="0"/>
        <w:jc w:val="center"/>
      </w:pPr>
      <w:r>
        <w:rPr>
          <w:rFonts w:ascii="Arial" w:cs="Arial" w:eastAsia="Arial" w:hAnsi="Arial"/>
          <w:color w:val="555555"/>
          <w:sz w:val="22"/>
          <w:szCs w:val="22"/>
        </w:rPr>
        <w:t xml:space="preserve">Bhargava Koya | 20075511 | B9AI103 Recommender Systems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Property</w:t>
            </w:r>
          </w:p>
        </w:tc>
        <w:tc>
          <w:tcPr>
            <w:tcW w:type="dxa" w:w="5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LightGCN (Graph Attention) + Sentence-BERT + LLM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MovieLens 100K — 943 users, 1,682 movies, 100,000 ratings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Framework</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PyTorch + Sentence-Transformers + Gradio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SBERT Model</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all-MiniLM-L6-v2 (384-dim embeddings)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Training</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BPR Loss, Adam Optimiser, 50 Epochs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NDCG@K, Precision@K, HitRate@K (K = 5, 10, 20)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Notebook Cells</w:t>
            </w:r>
          </w:p>
        </w:tc>
        <w:tc>
          <w:tcPr>
            <w:tcW w:type="dxa" w:w="5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37 cells — 14 major sections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 (Google Colab / Jupyter)</w:t>
            </w:r>
          </w:p>
        </w:tc>
      </w:tr>
    </w:tbl>
    <w:p>
      <w:pPr>
        <w:spacing w:after="60" w:before="60"/>
      </w:pPr>
      <w:r>
        <w:t xml:space="preserve"/>
      </w:r>
    </w:p>
    <w:p>
      <w:r>
        <w:br w:type="page"/>
      </w:r>
    </w:p>
    <w:p>
      <w:pPr>
        <w:pStyle w:val="Heading1"/>
        <w:spacing w:after="120" w:before="360"/>
      </w:pPr>
      <w:r>
        <w:rPr>
          <w:rFonts w:ascii="Arial" w:cs="Arial" w:eastAsia="Arial" w:hAnsi="Arial"/>
          <w:b/>
          <w:bCs/>
          <w:color w:val="1F4E79"/>
          <w:sz w:val="28"/>
          <w:szCs w:val="28"/>
        </w:rPr>
        <w:t xml:space="preserve">Section 1: Environment Setup &amp; Dependencies (Cells 1–2)</w:t>
      </w:r>
    </w:p>
    <w:p>
      <w:pPr>
        <w:pStyle w:val="Heading2"/>
        <w:spacing w:after="100" w:before="240"/>
      </w:pPr>
      <w:r>
        <w:rPr>
          <w:rFonts w:ascii="Arial" w:cs="Arial" w:eastAsia="Arial" w:hAnsi="Arial"/>
          <w:b/>
          <w:bCs/>
          <w:color w:val="2E75B6"/>
          <w:sz w:val="24"/>
          <w:szCs w:val="24"/>
        </w:rPr>
        <w:t xml:space="preserve">1.1 Dependency Installation</w:t>
      </w:r>
    </w:p>
    <w:p>
      <w:pPr>
        <w:shd w:fill="F4F4F4" w:val="clear"/>
        <w:spacing w:after="60" w:before="60"/>
      </w:pPr>
      <w:r>
        <w:rPr>
          <w:rFonts w:ascii="Courier New" w:cs="Courier New" w:eastAsia="Courier New" w:hAnsi="Courier New"/>
          <w:color w:val="24292F"/>
          <w:sz w:val="18"/>
          <w:szCs w:val="18"/>
        </w:rPr>
        <w:t xml:space="preserve">!pip install torch torchvision sentence-transformers gradio matplotlib seaborn scikit-learn --quiet</w:t>
      </w:r>
    </w:p>
    <w:p>
      <w:pPr>
        <w:spacing w:after="60" w:before="60"/>
      </w:pPr>
      <w:r>
        <w:t xml:space="preserve"/>
      </w:r>
    </w:p>
    <w:p>
      <w:pPr>
        <w:spacing w:after="80" w:before="80" w:line="276"/>
        <w:jc w:val="both"/>
      </w:pPr>
      <w:r>
        <w:rPr>
          <w:rFonts w:ascii="Arial" w:cs="Arial" w:eastAsia="Arial" w:hAnsi="Arial"/>
          <w:sz w:val="22"/>
          <w:szCs w:val="22"/>
        </w:rPr>
        <w:t xml:space="preserve">Cell 2 installs all required libraries in a single pip command. The --quiet flag suppresses verbose output, suitable for Colab notebooks. The dependencies span five categories:</w:t>
      </w:r>
    </w:p>
    <w:p>
      <w:pPr>
        <w:pStyle w:val="ListParagraph"/>
        <w:numPr>
          <w:ilvl w:val="0"/>
          <w:numId w:val="2"/>
        </w:numPr>
        <w:spacing w:after="60" w:before="60"/>
      </w:pPr>
      <w:r>
        <w:rPr>
          <w:rFonts w:ascii="Arial" w:cs="Arial" w:eastAsia="Arial" w:hAnsi="Arial"/>
          <w:sz w:val="22"/>
          <w:szCs w:val="22"/>
        </w:rPr>
        <w:t xml:space="preserve">Deep Learning: torch, torchvision — PyTorch ecosystem for model definition, gradient computation, and GPU acceleration.</w:t>
      </w:r>
    </w:p>
    <w:p>
      <w:pPr>
        <w:pStyle w:val="ListParagraph"/>
        <w:numPr>
          <w:ilvl w:val="0"/>
          <w:numId w:val="2"/>
        </w:numPr>
        <w:spacing w:after="60" w:before="60"/>
      </w:pPr>
      <w:r>
        <w:rPr>
          <w:rFonts w:ascii="Arial" w:cs="Arial" w:eastAsia="Arial" w:hAnsi="Arial"/>
          <w:sz w:val="22"/>
          <w:szCs w:val="22"/>
        </w:rPr>
        <w:t xml:space="preserve">NLP: sentence-transformers — Hugging Face library providing the all-MiniLM-L6-v2 model for semantic text encoding.</w:t>
      </w:r>
    </w:p>
    <w:p>
      <w:pPr>
        <w:pStyle w:val="ListParagraph"/>
        <w:numPr>
          <w:ilvl w:val="0"/>
          <w:numId w:val="2"/>
        </w:numPr>
        <w:spacing w:after="60" w:before="60"/>
      </w:pPr>
      <w:r>
        <w:rPr>
          <w:rFonts w:ascii="Arial" w:cs="Arial" w:eastAsia="Arial" w:hAnsi="Arial"/>
          <w:sz w:val="22"/>
          <w:szCs w:val="22"/>
        </w:rPr>
        <w:t xml:space="preserve">Interface: gradio — rapid web UI generation for interactive demonstration.</w:t>
      </w:r>
    </w:p>
    <w:p>
      <w:pPr>
        <w:pStyle w:val="ListParagraph"/>
        <w:numPr>
          <w:ilvl w:val="0"/>
          <w:numId w:val="2"/>
        </w:numPr>
        <w:spacing w:after="60" w:before="60"/>
      </w:pPr>
      <w:r>
        <w:rPr>
          <w:rFonts w:ascii="Arial" w:cs="Arial" w:eastAsia="Arial" w:hAnsi="Arial"/>
          <w:sz w:val="22"/>
          <w:szCs w:val="22"/>
        </w:rPr>
        <w:t xml:space="preserve">Data Processing: scikit-learn — cosine_similarity for content-based baseline; pandas/numpy for data manipulation.</w:t>
      </w:r>
    </w:p>
    <w:p>
      <w:pPr>
        <w:pStyle w:val="ListParagraph"/>
        <w:numPr>
          <w:ilvl w:val="0"/>
          <w:numId w:val="2"/>
        </w:numPr>
        <w:spacing w:after="60" w:before="60"/>
      </w:pPr>
      <w:r>
        <w:rPr>
          <w:rFonts w:ascii="Arial" w:cs="Arial" w:eastAsia="Arial" w:hAnsi="Arial"/>
          <w:sz w:val="22"/>
          <w:szCs w:val="22"/>
        </w:rPr>
        <w:t xml:space="preserve">Visualisation: matplotlib, seaborn — EDA plots, training curves, heatmaps, ablation bar charts.</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1.2 Imports &amp; Hyperparameter Configuration (Cell 4)</w:t>
      </w:r>
    </w:p>
    <w:p>
      <w:pPr>
        <w:shd w:fill="F4F4F4" w:val="clear"/>
        <w:spacing w:after="60" w:before="60"/>
      </w:pPr>
      <w:r>
        <w:rPr>
          <w:rFonts w:ascii="Courier New" w:cs="Courier New" w:eastAsia="Courier New" w:hAnsi="Courier New"/>
          <w:color w:val="24292F"/>
          <w:sz w:val="18"/>
          <w:szCs w:val="18"/>
        </w:rPr>
        <w:t xml:space="preserve">EMB_DIM = 64  |  NUM_LAYERS = 3  |  LR = 0.001  |  REG_LAMBDA = 1e-4</w:t>
      </w:r>
    </w:p>
    <w:p>
      <w:pPr>
        <w:shd w:fill="F4F4F4" w:val="clear"/>
        <w:spacing w:after="60" w:before="60"/>
      </w:pPr>
      <w:r>
        <w:rPr>
          <w:rFonts w:ascii="Courier New" w:cs="Courier New" w:eastAsia="Courier New" w:hAnsi="Courier New"/>
          <w:color w:val="24292F"/>
          <w:sz w:val="18"/>
          <w:szCs w:val="18"/>
        </w:rPr>
        <w:t xml:space="preserve">EPOCHS = 50   |  BATCH_SIZE = 1024  |  K_VALUES = [5, 10, 20]  |  MIN_RATING = 4</w:t>
      </w:r>
    </w:p>
    <w:p>
      <w:pPr>
        <w:spacing w:after="60" w:before="60"/>
      </w:pPr>
      <w:r>
        <w:t xml:space="preserve"/>
      </w:r>
    </w:p>
    <w:p>
      <w:pPr>
        <w:spacing w:after="80" w:before="80" w:line="276"/>
        <w:jc w:val="both"/>
      </w:pPr>
      <w:r>
        <w:rPr>
          <w:rFonts w:ascii="Arial" w:cs="Arial" w:eastAsia="Arial" w:hAnsi="Arial"/>
          <w:sz w:val="22"/>
          <w:szCs w:val="22"/>
        </w:rPr>
        <w:t xml:space="preserve">Configuration constants are defined at module level for reproducibility. Key design choices:</w:t>
      </w:r>
    </w:p>
    <w:p>
      <w:pPr>
        <w:pStyle w:val="ListParagraph"/>
        <w:numPr>
          <w:ilvl w:val="0"/>
          <w:numId w:val="2"/>
        </w:numPr>
        <w:spacing w:after="60" w:before="60"/>
      </w:pPr>
      <w:r>
        <w:rPr>
          <w:rFonts w:ascii="Arial" w:cs="Arial" w:eastAsia="Arial" w:hAnsi="Arial"/>
          <w:sz w:val="22"/>
          <w:szCs w:val="22"/>
        </w:rPr>
        <w:t xml:space="preserve">EMB_DIM = 64: Balances representational capacity with computational cost. 64 dimensions is standard for LightGCN on MovieLens 100K (He et al., 2020).</w:t>
      </w:r>
    </w:p>
    <w:p>
      <w:pPr>
        <w:pStyle w:val="ListParagraph"/>
        <w:numPr>
          <w:ilvl w:val="0"/>
          <w:numId w:val="2"/>
        </w:numPr>
        <w:spacing w:after="60" w:before="60"/>
      </w:pPr>
      <w:r>
        <w:rPr>
          <w:rFonts w:ascii="Arial" w:cs="Arial" w:eastAsia="Arial" w:hAnsi="Arial"/>
          <w:sz w:val="22"/>
          <w:szCs w:val="22"/>
        </w:rPr>
        <w:t xml:space="preserve">NUM_LAYERS = 3: Three propagation layers capture up to 3-hop collaborative relationships (e.g., user → movie → genre → similar user). Research shows 3 layers optimal for this dataset size.</w:t>
      </w:r>
    </w:p>
    <w:p>
      <w:pPr>
        <w:pStyle w:val="ListParagraph"/>
        <w:numPr>
          <w:ilvl w:val="0"/>
          <w:numId w:val="2"/>
        </w:numPr>
        <w:spacing w:after="60" w:before="60"/>
      </w:pPr>
      <w:r>
        <w:rPr>
          <w:rFonts w:ascii="Arial" w:cs="Arial" w:eastAsia="Arial" w:hAnsi="Arial"/>
          <w:sz w:val="22"/>
          <w:szCs w:val="22"/>
        </w:rPr>
        <w:t xml:space="preserve">MIN_RATING = 4: Only ratings &gt;= 4 stars contribute to the graph edges, treating these as implicit positive feedback. This is the standard threshold for MovieLens positive interaction definition.</w:t>
      </w:r>
    </w:p>
    <w:p>
      <w:pPr>
        <w:pStyle w:val="ListParagraph"/>
        <w:numPr>
          <w:ilvl w:val="0"/>
          <w:numId w:val="2"/>
        </w:numPr>
        <w:spacing w:after="60" w:before="60"/>
      </w:pPr>
      <w:r>
        <w:rPr>
          <w:rFonts w:ascii="Arial" w:cs="Arial" w:eastAsia="Arial" w:hAnsi="Arial"/>
          <w:sz w:val="22"/>
          <w:szCs w:val="22"/>
        </w:rPr>
        <w:t xml:space="preserve">SEED = 42: Both numpy and torch seeds are fixed for reproducible train/test splits and model initialisation.</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2: Data Loading &amp; Preprocessing (Cells 5–9)</w:t>
      </w:r>
    </w:p>
    <w:p>
      <w:pPr>
        <w:pStyle w:val="Heading2"/>
        <w:spacing w:after="100" w:before="240"/>
      </w:pPr>
      <w:r>
        <w:rPr>
          <w:rFonts w:ascii="Arial" w:cs="Arial" w:eastAsia="Arial" w:hAnsi="Arial"/>
          <w:b/>
          <w:bCs/>
          <w:color w:val="2E75B6"/>
          <w:sz w:val="24"/>
          <w:szCs w:val="24"/>
        </w:rPr>
        <w:t xml:space="preserve">2.1 Dataset Download (Cell 6)</w:t>
      </w:r>
    </w:p>
    <w:p>
      <w:pPr>
        <w:shd w:fill="F4F4F4" w:val="clear"/>
        <w:spacing w:after="60" w:before="60"/>
      </w:pPr>
      <w:r>
        <w:rPr>
          <w:rFonts w:ascii="Courier New" w:cs="Courier New" w:eastAsia="Courier New" w:hAnsi="Courier New"/>
          <w:color w:val="24292F"/>
          <w:sz w:val="18"/>
          <w:szCs w:val="18"/>
        </w:rPr>
        <w:t xml:space="preserve">url = 'https://files.grouplens.org/datasets/movielens/ml-100k.zip'</w:t>
      </w:r>
    </w:p>
    <w:p>
      <w:pPr>
        <w:shd w:fill="F4F4F4" w:val="clear"/>
        <w:spacing w:after="60" w:before="60"/>
      </w:pPr>
      <w:r>
        <w:rPr>
          <w:rFonts w:ascii="Courier New" w:cs="Courier New" w:eastAsia="Courier New" w:hAnsi="Courier New"/>
          <w:color w:val="24292F"/>
          <w:sz w:val="18"/>
          <w:szCs w:val="18"/>
        </w:rPr>
        <w:t xml:space="preserve">ratings = pd.read_csv('ml-100k/u.data', sep='\t', names=['user_id','item_id','rating','timestamp'])</w:t>
      </w:r>
    </w:p>
    <w:p>
      <w:pPr>
        <w:spacing w:after="60" w:before="60"/>
      </w:pPr>
      <w:r>
        <w:t xml:space="preserve"/>
      </w:r>
    </w:p>
    <w:p>
      <w:pPr>
        <w:spacing w:after="80" w:before="80" w:line="276"/>
        <w:jc w:val="both"/>
      </w:pPr>
      <w:r>
        <w:rPr>
          <w:rFonts w:ascii="Arial" w:cs="Arial" w:eastAsia="Arial" w:hAnsi="Arial"/>
          <w:sz w:val="22"/>
          <w:szCs w:val="22"/>
        </w:rPr>
        <w:t xml:space="preserve">The download function checks for local existence before downloading, making the notebook idempotent (safe to re-run). The u.data file uses tab-separated format with four fields. The u.item file (movies) is parsed separately with 24 columns including 19 binary genre flags (Action, Adventure, Animation, Children, Comedy, Crime, Documentary, Drama, Fantasy, Film-Noir, Horror, Musical, Mystery, Romance, Sci-Fi, Thriller, War, Western, unknown).</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2.2 ID Re-indexing (Cell 7)</w:t>
      </w:r>
    </w:p>
    <w:p>
      <w:pPr>
        <w:shd w:fill="F4F4F4" w:val="clear"/>
        <w:spacing w:after="60" w:before="60"/>
      </w:pPr>
      <w:r>
        <w:rPr>
          <w:rFonts w:ascii="Courier New" w:cs="Courier New" w:eastAsia="Courier New" w:hAnsi="Courier New"/>
          <w:color w:val="24292F"/>
          <w:sz w:val="18"/>
          <w:szCs w:val="18"/>
        </w:rPr>
        <w:t xml:space="preserve">user2idx = {u:i for i,u in enumerate(user_ids)}</w:t>
      </w:r>
    </w:p>
    <w:p>
      <w:pPr>
        <w:shd w:fill="F4F4F4" w:val="clear"/>
        <w:spacing w:after="60" w:before="60"/>
      </w:pPr>
      <w:r>
        <w:rPr>
          <w:rFonts w:ascii="Courier New" w:cs="Courier New" w:eastAsia="Courier New" w:hAnsi="Courier New"/>
          <w:color w:val="24292F"/>
          <w:sz w:val="18"/>
          <w:szCs w:val="18"/>
        </w:rPr>
        <w:t xml:space="preserve">item2idx = {m:i for i,m in enumerate(item_ids)}</w:t>
      </w:r>
    </w:p>
    <w:p>
      <w:pPr>
        <w:spacing w:after="60" w:before="60"/>
      </w:pPr>
      <w:r>
        <w:t xml:space="preserve"/>
      </w:r>
    </w:p>
    <w:p>
      <w:pPr>
        <w:spacing w:after="80" w:before="80" w:line="276"/>
        <w:jc w:val="both"/>
      </w:pPr>
      <w:r>
        <w:rPr>
          <w:rFonts w:ascii="Arial" w:cs="Arial" w:eastAsia="Arial" w:hAnsi="Arial"/>
          <w:sz w:val="22"/>
          <w:szCs w:val="22"/>
        </w:rPr>
        <w:t xml:space="preserve">MovieLens 100K uses 1-based integer IDs which are re-mapped to 0-based contiguous indices. This is critical for embedding lookup (nn.Embedding requires indices in [0, num_embeddings)). The idx2item reverse mapping enables translation from model output indices back to human-readable movie titles for the Gradio interface and LLM explanation generator.</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Re-indexing</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NUM_USERS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943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NUM_ITEMS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1,682</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Graph Nodes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Sparsity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~93.7% (most user-item pairs unobserved)</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2.3 Train/Test Split — Leave-One-Out (Cell 9)</w:t>
      </w:r>
    </w:p>
    <w:p>
      <w:pPr>
        <w:shd w:fill="F4F4F4" w:val="clear"/>
        <w:spacing w:after="60" w:before="60"/>
      </w:pPr>
      <w:r>
        <w:rPr>
          <w:rFonts w:ascii="Courier New" w:cs="Courier New" w:eastAsia="Courier New" w:hAnsi="Courier New"/>
          <w:color w:val="24292F"/>
          <w:sz w:val="18"/>
          <w:szCs w:val="18"/>
        </w:rPr>
        <w:t xml:space="preserve">test_df = ratings_sorted.groupby('u_idx').last().reset_index()[['u_idx','i_idx']]</w:t>
      </w:r>
    </w:p>
    <w:p>
      <w:pPr>
        <w:shd w:fill="F4F4F4" w:val="clear"/>
        <w:spacing w:after="60" w:before="60"/>
      </w:pPr>
      <w:r>
        <w:rPr>
          <w:rFonts w:ascii="Courier New" w:cs="Courier New" w:eastAsia="Courier New" w:hAnsi="Courier New"/>
          <w:color w:val="24292F"/>
          <w:sz w:val="18"/>
          <w:szCs w:val="18"/>
        </w:rPr>
        <w:t xml:space="preserve">train_df = ratings_sorted.groupby('u_idx').apply(lambda x: x.iloc[:-1])</w:t>
      </w:r>
    </w:p>
    <w:p>
      <w:pPr>
        <w:spacing w:after="60" w:before="60"/>
      </w:pPr>
      <w:r>
        <w:t xml:space="preserve"/>
      </w:r>
    </w:p>
    <w:p>
      <w:pPr>
        <w:spacing w:after="80" w:before="80" w:line="276"/>
        <w:jc w:val="both"/>
      </w:pPr>
      <w:r>
        <w:rPr>
          <w:rFonts w:ascii="Arial" w:cs="Arial" w:eastAsia="Arial" w:hAnsi="Arial"/>
          <w:sz w:val="22"/>
          <w:szCs w:val="22"/>
        </w:rPr>
        <w:t xml:space="preserve">The leave-one-out (LOO) evaluation protocol, sorted by timestamp, holds out each user's most recent interaction as the test item. This is the standard evaluation setup for top-N recommendation (He et al., 2020) and ensures temporal validity — the model is never trained on future interactions. The test set contains exactly one positive item per user (943 test pairs total).</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3: Exploratory Data Analysis (Cells 10–12)</w:t>
      </w:r>
    </w:p>
    <w:p>
      <w:pPr>
        <w:pStyle w:val="Heading2"/>
        <w:spacing w:after="100" w:before="240"/>
      </w:pPr>
      <w:r>
        <w:rPr>
          <w:rFonts w:ascii="Arial" w:cs="Arial" w:eastAsia="Arial" w:hAnsi="Arial"/>
          <w:b/>
          <w:bCs/>
          <w:color w:val="2E75B6"/>
          <w:sz w:val="24"/>
          <w:szCs w:val="24"/>
        </w:rPr>
        <w:t xml:space="preserve">3.1 Distribution Analysis (Cell 11)</w:t>
      </w:r>
    </w:p>
    <w:p>
      <w:pPr>
        <w:spacing w:after="80" w:before="80" w:line="276"/>
        <w:jc w:val="both"/>
      </w:pPr>
      <w:r>
        <w:rPr>
          <w:rFonts w:ascii="Arial" w:cs="Arial" w:eastAsia="Arial" w:hAnsi="Arial"/>
          <w:sz w:val="22"/>
          <w:szCs w:val="22"/>
        </w:rPr>
        <w:t xml:space="preserve">Three histograms visualise the dataset characteristics:</w:t>
      </w:r>
    </w:p>
    <w:p>
      <w:pPr>
        <w:pStyle w:val="ListParagraph"/>
        <w:numPr>
          <w:ilvl w:val="0"/>
          <w:numId w:val="2"/>
        </w:numPr>
        <w:spacing w:after="60" w:before="60"/>
      </w:pPr>
      <w:r>
        <w:rPr>
          <w:rFonts w:ascii="Arial" w:cs="Arial" w:eastAsia="Arial" w:hAnsi="Arial"/>
          <w:sz w:val="22"/>
          <w:szCs w:val="22"/>
        </w:rPr>
        <w:t xml:space="preserve">Rating Distribution: Ratings are concentrated at 3–4 stars (right-skewed). This creates class imbalance: MIN_RATING=4 filters approximately 40% of all interactions as positive, ensuring graph edges represent genuine preference rather than neutral responses.</w:t>
      </w:r>
    </w:p>
    <w:p>
      <w:pPr>
        <w:pStyle w:val="ListParagraph"/>
        <w:numPr>
          <w:ilvl w:val="0"/>
          <w:numId w:val="2"/>
        </w:numPr>
        <w:spacing w:after="60" w:before="60"/>
      </w:pPr>
      <w:r>
        <w:rPr>
          <w:rFonts w:ascii="Arial" w:cs="Arial" w:eastAsia="Arial" w:hAnsi="Arial"/>
          <w:sz w:val="22"/>
          <w:szCs w:val="22"/>
        </w:rPr>
        <w:t xml:space="preserve">Ratings per User: Right-skewed power-law distribution. Mean ~106 ratings/user, but median is ~65. Heavy-tailed — a small number of super-users (500+ ratings) could dominate collaborative signals without proper normalisation. LightGCN's symmetric normalisation (1/sqrt(deg_u * deg_i)) mitigates this.</w:t>
      </w:r>
    </w:p>
    <w:p>
      <w:pPr>
        <w:pStyle w:val="ListParagraph"/>
        <w:numPr>
          <w:ilvl w:val="0"/>
          <w:numId w:val="2"/>
        </w:numPr>
        <w:spacing w:after="60" w:before="60"/>
      </w:pPr>
      <w:r>
        <w:rPr>
          <w:rFonts w:ascii="Arial" w:cs="Arial" w:eastAsia="Arial" w:hAnsi="Arial"/>
          <w:sz w:val="22"/>
          <w:szCs w:val="22"/>
        </w:rPr>
        <w:t xml:space="preserve">Ratings per Movie: Extreme long-tail distribution. A small set of popular films (&gt;200 ratings) versus thousands of movies with &lt;10 ratings. This is the structural source of popularity bias analysed in Part 2 of the report.</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3.2 Top-10 Most Rated Movies (Cell 12)</w:t>
      </w:r>
    </w:p>
    <w:p>
      <w:pPr>
        <w:spacing w:after="80" w:before="80" w:line="276"/>
        <w:jc w:val="both"/>
      </w:pPr>
      <w:r>
        <w:rPr>
          <w:rFonts w:ascii="Arial" w:cs="Arial" w:eastAsia="Arial" w:hAnsi="Arial"/>
          <w:sz w:val="22"/>
          <w:szCs w:val="22"/>
        </w:rPr>
        <w:t xml:space="preserve">The horizontal bar chart of the 10 most-rated movies in the training set (Star Wars, Contact, Fargo, Return of the Jedi, Liar Liar, English Patient, Scream, Toy Story, Air Force One, Independence Day) reveals the popularity bias pattern: these mainstream Hollywood releases of the mid-1990s dominate graph connectivity, giving them disproportionate embedding influence in LightGCN propagation.</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4: Graph Construction (Cell 13–14)</w:t>
      </w:r>
    </w:p>
    <w:p>
      <w:pPr>
        <w:pStyle w:val="Heading2"/>
        <w:spacing w:after="100" w:before="240"/>
      </w:pPr>
      <w:r>
        <w:rPr>
          <w:rFonts w:ascii="Arial" w:cs="Arial" w:eastAsia="Arial" w:hAnsi="Arial"/>
          <w:b/>
          <w:bCs/>
          <w:color w:val="2E75B6"/>
          <w:sz w:val="24"/>
          <w:szCs w:val="24"/>
        </w:rPr>
        <w:t xml:space="preserve">4.1 Bipartite Graph Design</w:t>
      </w:r>
    </w:p>
    <w:p>
      <w:pPr>
        <w:shd w:fill="F4F4F4" w:val="clear"/>
        <w:spacing w:after="60" w:before="60"/>
      </w:pPr>
      <w:r>
        <w:rPr>
          <w:rFonts w:ascii="Courier New" w:cs="Courier New" w:eastAsia="Courier New" w:hAnsi="Courier New"/>
          <w:color w:val="24292F"/>
          <w:sz w:val="18"/>
          <w:szCs w:val="18"/>
        </w:rPr>
        <w:t xml:space="preserve">user_nodes = pos_ratings['u_idx'].values          # 0 to 942</w:t>
      </w:r>
    </w:p>
    <w:p>
      <w:pPr>
        <w:shd w:fill="F4F4F4" w:val="clear"/>
        <w:spacing w:after="60" w:before="60"/>
      </w:pPr>
      <w:r>
        <w:rPr>
          <w:rFonts w:ascii="Courier New" w:cs="Courier New" w:eastAsia="Courier New" w:hAnsi="Courier New"/>
          <w:color w:val="24292F"/>
          <w:sz w:val="18"/>
          <w:szCs w:val="18"/>
        </w:rPr>
        <w:t xml:space="preserve">item_nodes = pos_ratings['i_idx'].values + NUM_USERS  # 943 to 2624</w:t>
      </w:r>
    </w:p>
    <w:p>
      <w:pPr>
        <w:shd w:fill="F4F4F4" w:val="clear"/>
        <w:spacing w:after="60" w:before="60"/>
      </w:pPr>
      <w:r>
        <w:rPr>
          <w:rFonts w:ascii="Courier New" w:cs="Courier New" w:eastAsia="Courier New" w:hAnsi="Courier New"/>
          <w:color w:val="24292F"/>
          <w:sz w:val="18"/>
          <w:szCs w:val="18"/>
        </w:rPr>
        <w:t xml:space="preserve">src = np.concatenate([user_nodes, item_nodes])</w:t>
      </w:r>
    </w:p>
    <w:p>
      <w:pPr>
        <w:shd w:fill="F4F4F4" w:val="clear"/>
        <w:spacing w:after="60" w:before="60"/>
      </w:pPr>
      <w:r>
        <w:rPr>
          <w:rFonts w:ascii="Courier New" w:cs="Courier New" w:eastAsia="Courier New" w:hAnsi="Courier New"/>
          <w:color w:val="24292F"/>
          <w:sz w:val="18"/>
          <w:szCs w:val="18"/>
        </w:rPr>
        <w:t xml:space="preserve">dst = np.concatenate([item_nodes, user_nodes])</w:t>
      </w:r>
    </w:p>
    <w:p>
      <w:pPr>
        <w:shd w:fill="F4F4F4" w:val="clear"/>
        <w:spacing w:after="60" w:before="60"/>
      </w:pPr>
      <w:r>
        <w:rPr>
          <w:rFonts w:ascii="Courier New" w:cs="Courier New" w:eastAsia="Courier New" w:hAnsi="Courier New"/>
          <w:color w:val="24292F"/>
          <w:sz w:val="18"/>
          <w:szCs w:val="18"/>
        </w:rPr>
        <w:t xml:space="preserve">edge_index = torch.tensor(np.stack([src, dst]), dtype=torch.long).to(DEVICE)</w:t>
      </w:r>
    </w:p>
    <w:p>
      <w:pPr>
        <w:spacing w:after="60" w:before="60"/>
      </w:pPr>
      <w:r>
        <w:t xml:space="preserve"/>
      </w:r>
    </w:p>
    <w:p>
      <w:pPr>
        <w:spacing w:after="80" w:before="80" w:line="276"/>
        <w:jc w:val="both"/>
      </w:pPr>
      <w:r>
        <w:rPr>
          <w:rFonts w:ascii="Arial" w:cs="Arial" w:eastAsia="Arial" w:hAnsi="Arial"/>
          <w:sz w:val="22"/>
          <w:szCs w:val="22"/>
        </w:rPr>
        <w:t xml:space="preserve">The bipartite graph uses a unified node space: user nodes occupy indices 0–942, item nodes occupy 943–2,624. Both directions of each edge are included (undirected representation as directed both ways) — a requirement of LightGCN's propagation which aggregates from neighbours in both directions. The edge_index tensor shape is [2, 2E] where E is the number of positive interactions (edges). Only ratings &gt;= MIN_RATING=4 are included, implementing implicit feedback modelling.</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Graph Property</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 Types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Users (943) + Items (1,682) = 2,625 total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Source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ratings (&gt;= 4 stars)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Positive Interaction Pairs (approx.)</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~55,000 (subset of 100K total)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Representation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Undirected (both directions stored)</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edge_index Shape</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2E] on DEVICE (CPU or CUDA)</w:t>
            </w:r>
          </w:p>
        </w:tc>
      </w:tr>
    </w:tbl>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5: Sentence-BERT Feature Engineering (Cells 15–17)</w:t>
      </w:r>
    </w:p>
    <w:p>
      <w:pPr>
        <w:pStyle w:val="Heading2"/>
        <w:spacing w:after="100" w:before="240"/>
      </w:pPr>
      <w:r>
        <w:rPr>
          <w:rFonts w:ascii="Arial" w:cs="Arial" w:eastAsia="Arial" w:hAnsi="Arial"/>
          <w:b/>
          <w:bCs/>
          <w:color w:val="2E75B6"/>
          <w:sz w:val="24"/>
          <w:szCs w:val="24"/>
        </w:rPr>
        <w:t xml:space="preserve">5.1 Text Encoding Pipeline (Cell 16)</w:t>
      </w:r>
    </w:p>
    <w:p>
      <w:pPr>
        <w:shd w:fill="F4F4F4" w:val="clear"/>
        <w:spacing w:after="60" w:before="60"/>
      </w:pPr>
      <w:r>
        <w:rPr>
          <w:rFonts w:ascii="Courier New" w:cs="Courier New" w:eastAsia="Courier New" w:hAnsi="Courier New"/>
          <w:color w:val="24292F"/>
          <w:sz w:val="18"/>
          <w:szCs w:val="18"/>
        </w:rPr>
        <w:t xml:space="preserve">sbert_model = SentenceTransformer('sentence-transformers/all-MiniLM-L6-v2')</w:t>
      </w:r>
    </w:p>
    <w:p>
      <w:pPr>
        <w:shd w:fill="F4F4F4" w:val="clear"/>
        <w:spacing w:after="60" w:before="60"/>
      </w:pPr>
      <w:r>
        <w:rPr>
          <w:rFonts w:ascii="Courier New" w:cs="Courier New" w:eastAsia="Courier New" w:hAnsi="Courier New"/>
          <w:color w:val="24292F"/>
          <w:sz w:val="18"/>
          <w:szCs w:val="18"/>
        </w:rPr>
        <w:t xml:space="preserve">text_inputs = (movies_aligned['title'] + ' | ' + movies_aligned['genres']).tolist()</w:t>
      </w:r>
    </w:p>
    <w:p>
      <w:pPr>
        <w:shd w:fill="F4F4F4" w:val="clear"/>
        <w:spacing w:after="60" w:before="60"/>
      </w:pPr>
      <w:r>
        <w:rPr>
          <w:rFonts w:ascii="Courier New" w:cs="Courier New" w:eastAsia="Courier New" w:hAnsi="Courier New"/>
          <w:color w:val="24292F"/>
          <w:sz w:val="18"/>
          <w:szCs w:val="18"/>
        </w:rPr>
        <w:t xml:space="preserve">sbert_np = sbert_model.encode(text_inputs, batch_size=128, show_progress_bar=True)</w:t>
      </w:r>
    </w:p>
    <w:p>
      <w:pPr>
        <w:shd w:fill="F4F4F4" w:val="clear"/>
        <w:spacing w:after="60" w:before="60"/>
      </w:pPr>
      <w:r>
        <w:rPr>
          <w:rFonts w:ascii="Courier New" w:cs="Courier New" w:eastAsia="Courier New" w:hAnsi="Courier New"/>
          <w:color w:val="24292F"/>
          <w:sz w:val="18"/>
          <w:szCs w:val="18"/>
        </w:rPr>
        <w:t xml:space="preserve">item_sbert_feats = torch.tensor(sbert_np, dtype=torch.float).to(DEVICE)</w:t>
      </w:r>
    </w:p>
    <w:p>
      <w:pPr>
        <w:spacing w:after="60" w:before="60"/>
      </w:pPr>
      <w:r>
        <w:t xml:space="preserve"/>
      </w:r>
    </w:p>
    <w:p>
      <w:pPr>
        <w:spacing w:after="80" w:before="80" w:line="276"/>
        <w:jc w:val="both"/>
      </w:pPr>
      <w:r>
        <w:rPr>
          <w:rFonts w:ascii="Arial" w:cs="Arial" w:eastAsia="Arial" w:hAnsi="Arial"/>
          <w:sz w:val="22"/>
          <w:szCs w:val="22"/>
        </w:rPr>
        <w:t xml:space="preserve">This cell represents the core NLP integration of the system. Each movie's text representation is constructed as 'title | genres' (e.g., 'Toy Story | Animation Children Comedy'). The vertical bar separator is intentional — it acts as a natural linguistic separator that the SBERT tokeniser handles well. The all-MiniLM-L6-v2 model produces 384-dimensional mean-pooled sentence embeddings, trained on 1 billion sentence pairs using contrastive learning with MS MARCO, NLI, and STSb datasets. Batch size 128 balances GPU memory usage and encoding speed.</w:t>
      </w:r>
    </w:p>
    <w:p>
      <w:pPr>
        <w:spacing w:after="60" w:before="60"/>
      </w:pPr>
      <w:r>
        <w:t xml:space="preserve"/>
      </w:r>
    </w:p>
    <w:p>
      <w:pPr>
        <w:spacing w:after="80" w:before="80" w:line="276"/>
        <w:jc w:val="both"/>
      </w:pPr>
      <w:r>
        <w:rPr>
          <w:rFonts w:ascii="Arial" w:cs="Arial" w:eastAsia="Arial" w:hAnsi="Arial"/>
          <w:sz w:val="22"/>
          <w:szCs w:val="22"/>
        </w:rPr>
        <w:t xml:space="preserve">The resulting item_sbert_feats tensor shape is [1682, 384]. These features are NOT used directly as LightGCN embeddings — they are projected to EMB_DIM=64 via a learnable nn.Linear(384, 64) layer inside LightGCNRecommender, allowing the model to learn which semantic dimensions are most relevant for collaborative filtering.</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5.2 Similarity Heatmap (Cell 17)</w:t>
      </w:r>
    </w:p>
    <w:p>
      <w:pPr>
        <w:spacing w:after="80" w:before="80" w:line="276"/>
        <w:jc w:val="both"/>
      </w:pPr>
      <w:r>
        <w:rPr>
          <w:rFonts w:ascii="Arial" w:cs="Arial" w:eastAsia="Arial" w:hAnsi="Arial"/>
          <w:sz w:val="22"/>
          <w:szCs w:val="22"/>
        </w:rPr>
        <w:t xml:space="preserve">The cosine similarity heatmap of the top-20 most-rated movies visually validates the SBERT encoding quality. Expected outcomes: Action/Adventure blockbusters (Star Wars, Return of the Jedi, Independence Day) cluster with high mutual similarity (&gt;0.7); Drama films cluster separately; genre-crossing films (Pulp Fiction — Crime/Drama/Thriller) show intermediate similarity to multiple clusters. This validates that SBERT-encoded genre labels meaningfully differentiate movie content.</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6: Baseline Models (Cell 18–19)</w:t>
      </w:r>
    </w:p>
    <w:p>
      <w:pPr>
        <w:pStyle w:val="Heading2"/>
        <w:spacing w:after="100" w:before="240"/>
      </w:pPr>
      <w:r>
        <w:rPr>
          <w:rFonts w:ascii="Arial" w:cs="Arial" w:eastAsia="Arial" w:hAnsi="Arial"/>
          <w:b/>
          <w:bCs/>
          <w:color w:val="2E75B6"/>
          <w:sz w:val="24"/>
          <w:szCs w:val="24"/>
        </w:rPr>
        <w:t xml:space="preserve">6.1 Popularity Baseline</w:t>
      </w:r>
    </w:p>
    <w:p>
      <w:pPr>
        <w:shd w:fill="F4F4F4" w:val="clear"/>
        <w:spacing w:after="60" w:before="60"/>
      </w:pPr>
      <w:r>
        <w:rPr>
          <w:rFonts w:ascii="Courier New" w:cs="Courier New" w:eastAsia="Courier New" w:hAnsi="Courier New"/>
          <w:color w:val="24292F"/>
          <w:sz w:val="18"/>
          <w:szCs w:val="18"/>
        </w:rPr>
        <w:t xml:space="preserve">item_popularity = train_df.groupby('i_idx').size().sort_values(ascending=False)</w:t>
      </w:r>
    </w:p>
    <w:p>
      <w:pPr>
        <w:shd w:fill="F4F4F4" w:val="clear"/>
        <w:spacing w:after="60" w:before="60"/>
      </w:pPr>
      <w:r>
        <w:rPr>
          <w:rFonts w:ascii="Courier New" w:cs="Courier New" w:eastAsia="Courier New" w:hAnsi="Courier New"/>
          <w:color w:val="24292F"/>
          <w:sz w:val="18"/>
          <w:szCs w:val="18"/>
        </w:rPr>
        <w:t xml:space="preserve">def recommend_popularity(u_idx, k=10): return [i for i in pop_ranked if i not in seen][:k]</w:t>
      </w:r>
    </w:p>
    <w:p>
      <w:pPr>
        <w:spacing w:after="60" w:before="60"/>
      </w:pPr>
      <w:r>
        <w:t xml:space="preserve"/>
      </w:r>
    </w:p>
    <w:p>
      <w:pPr>
        <w:spacing w:after="80" w:before="80" w:line="276"/>
        <w:jc w:val="both"/>
      </w:pPr>
      <w:r>
        <w:rPr>
          <w:rFonts w:ascii="Arial" w:cs="Arial" w:eastAsia="Arial" w:hAnsi="Arial"/>
          <w:sz w:val="22"/>
          <w:szCs w:val="22"/>
        </w:rPr>
        <w:t xml:space="preserve">The popularity baseline ranks all movies by number of training interactions and returns the top-K unseen items for each user. It ignores user-specific preferences entirely. Despite its simplicity, popularity baselines often achieve surprisingly strong HitRate@10 on MovieLens because the dataset itself has strong popularity skew — users' test items are disproportionately from popular movies.</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6.2 Content-Based SBERT Baseline</w:t>
      </w:r>
    </w:p>
    <w:p>
      <w:pPr>
        <w:shd w:fill="F4F4F4" w:val="clear"/>
        <w:spacing w:after="60" w:before="60"/>
      </w:pPr>
      <w:r>
        <w:rPr>
          <w:rFonts w:ascii="Courier New" w:cs="Courier New" w:eastAsia="Courier New" w:hAnsi="Courier New"/>
          <w:color w:val="24292F"/>
          <w:sz w:val="18"/>
          <w:szCs w:val="18"/>
        </w:rPr>
        <w:t xml:space="preserve">def recommend_content_based(u_idx, k=10):</w:t>
      </w:r>
    </w:p>
    <w:p>
      <w:pPr>
        <w:shd w:fill="F4F4F4" w:val="clear"/>
        <w:spacing w:after="60" w:before="60"/>
      </w:pPr>
      <w:r>
        <w:rPr>
          <w:rFonts w:ascii="Courier New" w:cs="Courier New" w:eastAsia="Courier New" w:hAnsi="Courier New"/>
          <w:color w:val="24292F"/>
          <w:sz w:val="18"/>
          <w:szCs w:val="18"/>
        </w:rPr>
        <w:t xml:space="preserve">    user_vec = sbert_np[history].mean(axis=0, keepdims=True)</w:t>
      </w:r>
    </w:p>
    <w:p>
      <w:pPr>
        <w:shd w:fill="F4F4F4" w:val="clear"/>
        <w:spacing w:after="60" w:before="60"/>
      </w:pPr>
      <w:r>
        <w:rPr>
          <w:rFonts w:ascii="Courier New" w:cs="Courier New" w:eastAsia="Courier New" w:hAnsi="Courier New"/>
          <w:color w:val="24292F"/>
          <w:sz w:val="18"/>
          <w:szCs w:val="18"/>
        </w:rPr>
        <w:t xml:space="preserve">    sims = cosine_similarity(user_vec, sbert_np)[0]</w:t>
      </w:r>
    </w:p>
    <w:p>
      <w:pPr>
        <w:shd w:fill="F4F4F4" w:val="clear"/>
        <w:spacing w:after="60" w:before="60"/>
      </w:pPr>
      <w:r>
        <w:rPr>
          <w:rFonts w:ascii="Courier New" w:cs="Courier New" w:eastAsia="Courier New" w:hAnsi="Courier New"/>
          <w:color w:val="24292F"/>
          <w:sz w:val="18"/>
          <w:szCs w:val="18"/>
        </w:rPr>
        <w:t xml:space="preserve">    return [i for i in np.argsort(-sims) if i not in seen][:k]</w:t>
      </w:r>
    </w:p>
    <w:p>
      <w:pPr>
        <w:spacing w:after="60" w:before="60"/>
      </w:pPr>
      <w:r>
        <w:t xml:space="preserve"/>
      </w:r>
    </w:p>
    <w:p>
      <w:pPr>
        <w:spacing w:after="80" w:before="80" w:line="276"/>
        <w:jc w:val="both"/>
      </w:pPr>
      <w:r>
        <w:rPr>
          <w:rFonts w:ascii="Arial" w:cs="Arial" w:eastAsia="Arial" w:hAnsi="Arial"/>
          <w:sz w:val="22"/>
          <w:szCs w:val="22"/>
        </w:rPr>
        <w:t xml:space="preserve">The content-based baseline computes a user profile vector as the mean SBERT embedding of all movies in their training history, then ranks all items by cosine similarity to this profile. This baseline captures semantic preference (genre affinity) without any collaborative signal. Users with no history fall back to the popularity baseline. The 'cold start graceful degradation' is an important robustness property for production systems.</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7: LightGCN Model Architecture (Cells 20–21)</w:t>
      </w:r>
    </w:p>
    <w:p>
      <w:pPr>
        <w:pStyle w:val="Heading2"/>
        <w:spacing w:after="100" w:before="240"/>
      </w:pPr>
      <w:r>
        <w:rPr>
          <w:rFonts w:ascii="Arial" w:cs="Arial" w:eastAsia="Arial" w:hAnsi="Arial"/>
          <w:b/>
          <w:bCs/>
          <w:color w:val="2E75B6"/>
          <w:sz w:val="24"/>
          <w:szCs w:val="24"/>
        </w:rPr>
        <w:t xml:space="preserve">7.1 LightGCNLayer (Cell 21)</w:t>
      </w:r>
    </w:p>
    <w:p>
      <w:pPr>
        <w:shd w:fill="F4F4F4" w:val="clear"/>
        <w:spacing w:after="60" w:before="60"/>
      </w:pPr>
      <w:r>
        <w:rPr>
          <w:rFonts w:ascii="Courier New" w:cs="Courier New" w:eastAsia="Courier New" w:hAnsi="Courier New"/>
          <w:color w:val="24292F"/>
          <w:sz w:val="18"/>
          <w:szCs w:val="18"/>
        </w:rPr>
        <w:t xml:space="preserve">class LightGCNLayer(nn.Module):</w:t>
      </w:r>
    </w:p>
    <w:p>
      <w:pPr>
        <w:shd w:fill="F4F4F4" w:val="clear"/>
        <w:spacing w:after="60" w:before="60"/>
      </w:pPr>
      <w:r>
        <w:rPr>
          <w:rFonts w:ascii="Courier New" w:cs="Courier New" w:eastAsia="Courier New" w:hAnsi="Courier New"/>
          <w:color w:val="24292F"/>
          <w:sz w:val="18"/>
          <w:szCs w:val="18"/>
        </w:rPr>
        <w:t xml:space="preserve">    def forward(self, x, edge_index):</w:t>
      </w:r>
    </w:p>
    <w:p>
      <w:pPr>
        <w:shd w:fill="F4F4F4" w:val="clear"/>
        <w:spacing w:after="60" w:before="60"/>
      </w:pPr>
      <w:r>
        <w:rPr>
          <w:rFonts w:ascii="Courier New" w:cs="Courier New" w:eastAsia="Courier New" w:hAnsi="Courier New"/>
          <w:color w:val="24292F"/>
          <w:sz w:val="18"/>
          <w:szCs w:val="18"/>
        </w:rPr>
        <w:t xml:space="preserve">        deg = torch.zeros(x.size(0)); deg.scatter_add_(0, row, ones)</w:t>
      </w:r>
    </w:p>
    <w:p>
      <w:pPr>
        <w:shd w:fill="F4F4F4" w:val="clear"/>
        <w:spacing w:after="60" w:before="60"/>
      </w:pPr>
      <w:r>
        <w:rPr>
          <w:rFonts w:ascii="Courier New" w:cs="Courier New" w:eastAsia="Courier New" w:hAnsi="Courier New"/>
          <w:color w:val="24292F"/>
          <w:sz w:val="18"/>
          <w:szCs w:val="18"/>
        </w:rPr>
        <w:t xml:space="preserve">        d = deg.pow(-0.5); norm = d[row] * d[col]</w:t>
      </w:r>
    </w:p>
    <w:p>
      <w:pPr>
        <w:shd w:fill="F4F4F4" w:val="clear"/>
        <w:spacing w:after="60" w:before="60"/>
      </w:pPr>
      <w:r>
        <w:rPr>
          <w:rFonts w:ascii="Courier New" w:cs="Courier New" w:eastAsia="Courier New" w:hAnsi="Courier New"/>
          <w:color w:val="24292F"/>
          <w:sz w:val="18"/>
          <w:szCs w:val="18"/>
        </w:rPr>
        <w:t xml:space="preserve">        agg.scatter_add_(0, row.unsqueeze(1).expand(-1,x.size(1)), norm.unsqueeze(1)*x[col])</w:t>
      </w:r>
    </w:p>
    <w:p>
      <w:pPr>
        <w:spacing w:after="60" w:before="60"/>
      </w:pPr>
      <w:r>
        <w:t xml:space="preserve"/>
      </w:r>
    </w:p>
    <w:p>
      <w:pPr>
        <w:spacing w:after="80" w:before="80" w:line="276"/>
        <w:jc w:val="both"/>
      </w:pPr>
      <w:r>
        <w:rPr>
          <w:rFonts w:ascii="Arial" w:cs="Arial" w:eastAsia="Arial" w:hAnsi="Arial"/>
          <w:sz w:val="22"/>
          <w:szCs w:val="22"/>
        </w:rPr>
        <w:t xml:space="preserve">The LightGCNLayer implements the core graph convolution without any learnable weight matrices (as per the LightGCN paper). The symmetric normalisation norm_uv = 1/sqrt(deg_u * deg_v) prevents high-degree nodes from dominating the aggregation. The scatter_add_ operation efficiently aggregates neighbour embeddings without explicit adjacency matrix construction, critical for memory efficiency with 2,625 nodes and ~110,000 edges.</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7.2 LightGCNRecommender (Cell 21)</w:t>
      </w:r>
    </w:p>
    <w:p>
      <w:pPr>
        <w:shd w:fill="F4F4F4" w:val="clear"/>
        <w:spacing w:after="60" w:before="60"/>
      </w:pPr>
      <w:r>
        <w:rPr>
          <w:rFonts w:ascii="Courier New" w:cs="Courier New" w:eastAsia="Courier New" w:hAnsi="Courier New"/>
          <w:color w:val="24292F"/>
          <w:sz w:val="18"/>
          <w:szCs w:val="18"/>
        </w:rPr>
        <w:t xml:space="preserve">class LightGCNRecommender(nn.Module):</w:t>
      </w:r>
    </w:p>
    <w:p>
      <w:pPr>
        <w:shd w:fill="F4F4F4" w:val="clear"/>
        <w:spacing w:after="60" w:before="60"/>
      </w:pPr>
      <w:r>
        <w:rPr>
          <w:rFonts w:ascii="Courier New" w:cs="Courier New" w:eastAsia="Courier New" w:hAnsi="Courier New"/>
          <w:color w:val="24292F"/>
          <w:sz w:val="18"/>
          <w:szCs w:val="18"/>
        </w:rPr>
        <w:t xml:space="preserve">    # User embeddings: nn.Embedding(NUM_USERS, EMB_DIM)</w:t>
      </w:r>
    </w:p>
    <w:p>
      <w:pPr>
        <w:shd w:fill="F4F4F4" w:val="clear"/>
        <w:spacing w:after="60" w:before="60"/>
      </w:pPr>
      <w:r>
        <w:rPr>
          <w:rFonts w:ascii="Courier New" w:cs="Courier New" w:eastAsia="Courier New" w:hAnsi="Courier New"/>
          <w:color w:val="24292F"/>
          <w:sz w:val="18"/>
          <w:szCs w:val="18"/>
        </w:rPr>
        <w:t xml:space="preserve">    # Item init: nn.Linear(SBERT_DIM=384, EMB_DIM=64) applied to SBERT features</w:t>
      </w:r>
    </w:p>
    <w:p>
      <w:pPr>
        <w:shd w:fill="F4F4F4" w:val="clear"/>
        <w:spacing w:after="60" w:before="60"/>
      </w:pPr>
      <w:r>
        <w:rPr>
          <w:rFonts w:ascii="Courier New" w:cs="Courier New" w:eastAsia="Courier New" w:hAnsi="Courier New"/>
          <w:color w:val="24292F"/>
          <w:sz w:val="18"/>
          <w:szCs w:val="18"/>
        </w:rPr>
        <w:t xml:space="preserve">    # L layers of LightGCNLayer propagation</w:t>
      </w:r>
    </w:p>
    <w:p>
      <w:pPr>
        <w:shd w:fill="F4F4F4" w:val="clear"/>
        <w:spacing w:after="60" w:before="60"/>
      </w:pPr>
      <w:r>
        <w:rPr>
          <w:rFonts w:ascii="Courier New" w:cs="Courier New" w:eastAsia="Courier New" w:hAnsi="Courier New"/>
          <w:color w:val="24292F"/>
          <w:sz w:val="18"/>
          <w:szCs w:val="18"/>
        </w:rPr>
        <w:t xml:space="preserve">    # Final: mean of all layer embeddings (0 through L)</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0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Trainable Params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Embedding Table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user_id (int)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64-dim vector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943 × 64 = 60,352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SBERT Projection (Linear)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384-dim SBERT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64-dim vector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 × 64 + 64 = 24,640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LightGCNLayer × 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64-dim per node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64-dim per node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(no weights)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Averaging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sets of embeddings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64-dim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~85,000 parameters</w:t>
            </w:r>
          </w:p>
        </w:tc>
      </w:tr>
    </w:tbl>
    <w:p>
      <w:pPr>
        <w:spacing w:after="60" w:before="60"/>
      </w:pPr>
      <w:r>
        <w:t xml:space="preserve"/>
      </w:r>
    </w:p>
    <w:p>
      <w:pPr>
        <w:spacing w:after="80" w:before="80" w:line="276"/>
        <w:jc w:val="both"/>
      </w:pPr>
      <w:r>
        <w:rPr>
          <w:rFonts w:ascii="Arial" w:cs="Arial" w:eastAsia="Arial" w:hAnsi="Arial"/>
          <w:sz w:val="22"/>
          <w:szCs w:val="22"/>
        </w:rPr>
        <w:t xml:space="preserve">The critical design insight is that LightGCN layers have zero learnable parameters — all representation learning happens through the graph propagation of the initial embeddings. This simplification (removing feature transformation and non-linear activation compared to full GCN) has been shown to improve performance on recommendation tasks by avoiding over-smoothing and gradient instability.</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8: BPR Training (Cells 22–24)</w:t>
      </w:r>
    </w:p>
    <w:p>
      <w:pPr>
        <w:pStyle w:val="Heading2"/>
        <w:spacing w:after="100" w:before="240"/>
      </w:pPr>
      <w:r>
        <w:rPr>
          <w:rFonts w:ascii="Arial" w:cs="Arial" w:eastAsia="Arial" w:hAnsi="Arial"/>
          <w:b/>
          <w:bCs/>
          <w:color w:val="2E75B6"/>
          <w:sz w:val="24"/>
          <w:szCs w:val="24"/>
        </w:rPr>
        <w:t xml:space="preserve">8.1 BPR Loss Function (Cell 23)</w:t>
      </w:r>
    </w:p>
    <w:p>
      <w:pPr>
        <w:shd w:fill="F4F4F4" w:val="clear"/>
        <w:spacing w:after="60" w:before="60"/>
      </w:pPr>
      <w:r>
        <w:rPr>
          <w:rFonts w:ascii="Courier New" w:cs="Courier New" w:eastAsia="Courier New" w:hAnsi="Courier New"/>
          <w:color w:val="24292F"/>
          <w:sz w:val="18"/>
          <w:szCs w:val="18"/>
        </w:rPr>
        <w:t xml:space="preserve">def bpr_loss(ue, pe, ne, reg=REG_LAMBDA):</w:t>
      </w:r>
    </w:p>
    <w:p>
      <w:pPr>
        <w:shd w:fill="F4F4F4" w:val="clear"/>
        <w:spacing w:after="60" w:before="60"/>
      </w:pPr>
      <w:r>
        <w:rPr>
          <w:rFonts w:ascii="Courier New" w:cs="Courier New" w:eastAsia="Courier New" w:hAnsi="Courier New"/>
          <w:color w:val="24292F"/>
          <w:sz w:val="18"/>
          <w:szCs w:val="18"/>
        </w:rPr>
        <w:t xml:space="preserve">    loss = -F.logsigmoid((ue*pe).sum(1) - (ue*ne).sum(1)).mean()</w:t>
      </w:r>
    </w:p>
    <w:p>
      <w:pPr>
        <w:shd w:fill="F4F4F4" w:val="clear"/>
        <w:spacing w:after="60" w:before="60"/>
      </w:pPr>
      <w:r>
        <w:rPr>
          <w:rFonts w:ascii="Courier New" w:cs="Courier New" w:eastAsia="Courier New" w:hAnsi="Courier New"/>
          <w:color w:val="24292F"/>
          <w:sz w:val="18"/>
          <w:szCs w:val="18"/>
        </w:rPr>
        <w:t xml:space="preserve">    return loss + reg*(ue.norm(2)**2 + pe.norm(2)**2 + ne.norm(2)**2) / ue.size(0)</w:t>
      </w:r>
    </w:p>
    <w:p>
      <w:pPr>
        <w:spacing w:after="60" w:before="60"/>
      </w:pPr>
      <w:r>
        <w:t xml:space="preserve"/>
      </w:r>
    </w:p>
    <w:p>
      <w:pPr>
        <w:spacing w:after="80" w:before="80" w:line="276"/>
        <w:jc w:val="both"/>
      </w:pPr>
      <w:r>
        <w:rPr>
          <w:rFonts w:ascii="Arial" w:cs="Arial" w:eastAsia="Arial" w:hAnsi="Arial"/>
          <w:sz w:val="22"/>
          <w:szCs w:val="22"/>
        </w:rPr>
        <w:t xml:space="preserve">Bayesian Personalised Ranking (BPR) maximises the score difference between observed (positive) and unobserved (negative) items for each user. The key components:</w:t>
      </w:r>
    </w:p>
    <w:p>
      <w:pPr>
        <w:pStyle w:val="ListParagraph"/>
        <w:numPr>
          <w:ilvl w:val="0"/>
          <w:numId w:val="2"/>
        </w:numPr>
        <w:spacing w:after="60" w:before="60"/>
      </w:pPr>
      <w:r>
        <w:rPr>
          <w:rFonts w:ascii="Arial" w:cs="Arial" w:eastAsia="Arial" w:hAnsi="Arial"/>
          <w:sz w:val="22"/>
          <w:szCs w:val="22"/>
        </w:rPr>
        <w:t xml:space="preserve">(ue*pe).sum(1): Element-wise dot product between user embedding ue and positive item embedding pe — the predicted relevance score for the positive pair.</w:t>
      </w:r>
    </w:p>
    <w:p>
      <w:pPr>
        <w:pStyle w:val="ListParagraph"/>
        <w:numPr>
          <w:ilvl w:val="0"/>
          <w:numId w:val="2"/>
        </w:numPr>
        <w:spacing w:after="60" w:before="60"/>
      </w:pPr>
      <w:r>
        <w:rPr>
          <w:rFonts w:ascii="Arial" w:cs="Arial" w:eastAsia="Arial" w:hAnsi="Arial"/>
          <w:sz w:val="22"/>
          <w:szCs w:val="22"/>
        </w:rPr>
        <w:t xml:space="preserve">(ue*ne).sum(1): Predicted relevance for a uniformly sampled negative item.</w:t>
      </w:r>
    </w:p>
    <w:p>
      <w:pPr>
        <w:pStyle w:val="ListParagraph"/>
        <w:numPr>
          <w:ilvl w:val="0"/>
          <w:numId w:val="2"/>
        </w:numPr>
        <w:spacing w:after="60" w:before="60"/>
      </w:pPr>
      <w:r>
        <w:rPr>
          <w:rFonts w:ascii="Arial" w:cs="Arial" w:eastAsia="Arial" w:hAnsi="Arial"/>
          <w:sz w:val="22"/>
          <w:szCs w:val="22"/>
        </w:rPr>
        <w:t xml:space="preserve">F.logsigmoid(diff): Log-sigmoid of the score difference — maximising this pushes positive scores above negative scores.</w:t>
      </w:r>
    </w:p>
    <w:p>
      <w:pPr>
        <w:pStyle w:val="ListParagraph"/>
        <w:numPr>
          <w:ilvl w:val="0"/>
          <w:numId w:val="2"/>
        </w:numPr>
        <w:spacing w:after="60" w:before="60"/>
      </w:pPr>
      <w:r>
        <w:rPr>
          <w:rFonts w:ascii="Arial" w:cs="Arial" w:eastAsia="Arial" w:hAnsi="Arial"/>
          <w:sz w:val="22"/>
          <w:szCs w:val="22"/>
        </w:rPr>
        <w:t xml:space="preserve">L2 Regularisation: The reg*(norm^2) term prevents overfitting by penalising large embedding norms. Divided by batch size for consistent regularisation strength across batch sizes.</w:t>
      </w:r>
    </w:p>
    <w:p>
      <w:pPr>
        <w:spacing w:after="60" w:before="60"/>
      </w:pPr>
      <w:r>
        <w:t xml:space="preserve"/>
      </w:r>
    </w:p>
    <w:p>
      <w:pPr>
        <w:pStyle w:val="Heading2"/>
        <w:spacing w:after="100" w:before="240"/>
      </w:pPr>
      <w:r>
        <w:rPr>
          <w:rFonts w:ascii="Arial" w:cs="Arial" w:eastAsia="Arial" w:hAnsi="Arial"/>
          <w:b/>
          <w:bCs/>
          <w:color w:val="2E75B6"/>
          <w:sz w:val="24"/>
          <w:szCs w:val="24"/>
        </w:rPr>
        <w:t xml:space="preserve">8.2 Training Loop (Cell 24)</w:t>
      </w:r>
    </w:p>
    <w:p>
      <w:pPr>
        <w:shd w:fill="F4F4F4" w:val="clear"/>
        <w:spacing w:after="60" w:before="60"/>
      </w:pPr>
      <w:r>
        <w:rPr>
          <w:rFonts w:ascii="Courier New" w:cs="Courier New" w:eastAsia="Courier New" w:hAnsi="Courier New"/>
          <w:color w:val="24292F"/>
          <w:sz w:val="18"/>
          <w:szCs w:val="18"/>
        </w:rPr>
        <w:t xml:space="preserve">for epoch in range(1, EPOCHS+1):</w:t>
      </w:r>
    </w:p>
    <w:p>
      <w:pPr>
        <w:shd w:fill="F4F4F4" w:val="clear"/>
        <w:spacing w:after="60" w:before="60"/>
      </w:pPr>
      <w:r>
        <w:rPr>
          <w:rFonts w:ascii="Courier New" w:cs="Courier New" w:eastAsia="Courier New" w:hAnsi="Courier New"/>
          <w:color w:val="24292F"/>
          <w:sz w:val="18"/>
          <w:szCs w:val="18"/>
        </w:rPr>
        <w:t xml:space="preserve">    idx = np.random.permutation(len(pos_u_np))  # shuffle positive pairs</w:t>
      </w:r>
    </w:p>
    <w:p>
      <w:pPr>
        <w:shd w:fill="F4F4F4" w:val="clear"/>
        <w:spacing w:after="60" w:before="60"/>
      </w:pPr>
      <w:r>
        <w:rPr>
          <w:rFonts w:ascii="Courier New" w:cs="Courier New" w:eastAsia="Courier New" w:hAnsi="Courier New"/>
          <w:color w:val="24292F"/>
          <w:sz w:val="18"/>
          <w:szCs w:val="18"/>
        </w:rPr>
        <w:t xml:space="preserve">    for s in range(0, len(idx), BATCH_SIZE):</w:t>
      </w:r>
    </w:p>
    <w:p>
      <w:pPr>
        <w:shd w:fill="F4F4F4" w:val="clear"/>
        <w:spacing w:after="60" w:before="60"/>
      </w:pPr>
      <w:r>
        <w:rPr>
          <w:rFonts w:ascii="Courier New" w:cs="Courier New" w:eastAsia="Courier New" w:hAnsi="Courier New"/>
          <w:color w:val="24292F"/>
          <w:sz w:val="18"/>
          <w:szCs w:val="18"/>
        </w:rPr>
        <w:t xml:space="preserve">        neg = np.random.choice(all_items, len(b))  # uniform negative sampling</w:t>
      </w:r>
    </w:p>
    <w:p>
      <w:pPr>
        <w:shd w:fill="F4F4F4" w:val="clear"/>
        <w:spacing w:after="60" w:before="60"/>
      </w:pPr>
      <w:r>
        <w:rPr>
          <w:rFonts w:ascii="Courier New" w:cs="Courier New" w:eastAsia="Courier New" w:hAnsi="Courier New"/>
          <w:color w:val="24292F"/>
          <w:sz w:val="18"/>
          <w:szCs w:val="18"/>
        </w:rPr>
        <w:t xml:space="preserve">        loss = bpr_loss(ue[bu], ie[bip], ie[bin_])</w:t>
      </w:r>
    </w:p>
    <w:p>
      <w:pPr>
        <w:shd w:fill="F4F4F4" w:val="clear"/>
        <w:spacing w:after="60" w:before="60"/>
      </w:pPr>
      <w:r>
        <w:rPr>
          <w:rFonts w:ascii="Courier New" w:cs="Courier New" w:eastAsia="Courier New" w:hAnsi="Courier New"/>
          <w:color w:val="24292F"/>
          <w:sz w:val="18"/>
          <w:szCs w:val="18"/>
        </w:rPr>
        <w:t xml:space="preserve">        optimizer.zero_grad(); loss.backward(); optimizer.step()</w:t>
      </w:r>
    </w:p>
    <w:p>
      <w:pPr>
        <w:spacing w:after="60" w:before="60"/>
      </w:pPr>
      <w:r>
        <w:t xml:space="preserve"/>
      </w:r>
    </w:p>
    <w:p>
      <w:pPr>
        <w:spacing w:after="80" w:before="80" w:line="276"/>
        <w:jc w:val="both"/>
      </w:pPr>
      <w:r>
        <w:rPr>
          <w:rFonts w:ascii="Arial" w:cs="Arial" w:eastAsia="Arial" w:hAnsi="Arial"/>
          <w:sz w:val="22"/>
          <w:szCs w:val="22"/>
        </w:rPr>
        <w:t xml:space="preserve">Training uses mini-batch gradient descent with random permutation of positive pairs. Negative items are sampled uniformly from all items — this is the simplest negative sampling strategy (uniform). More sophisticated strategies (popularity-weighted negative sampling) could reduce popularity bias but increase complexity. Every 10 epochs, evaluation metrics are computed on the full test set and logged for training curve visualisation.</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9: Evaluation Metrics (Cell 23)</w:t>
      </w:r>
    </w:p>
    <w:p>
      <w:pPr>
        <w:pStyle w:val="Heading2"/>
        <w:spacing w:after="100" w:before="240"/>
      </w:pPr>
      <w:r>
        <w:rPr>
          <w:rFonts w:ascii="Arial" w:cs="Arial" w:eastAsia="Arial" w:hAnsi="Arial"/>
          <w:b/>
          <w:bCs/>
          <w:color w:val="2E75B6"/>
          <w:sz w:val="24"/>
          <w:szCs w:val="24"/>
        </w:rPr>
        <w:t xml:space="preserve">9.1 Metric Implementations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NDCG@K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DCG@K / IDCG@K</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Position-aware ranking quality. 1.0 = test item at rank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|relevant ∩ top-K| / 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Fraction of top-K that are relevant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HitRate@K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if any relevant in top-K else 0</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Binary: did any top-K item match test item?</w:t>
            </w:r>
          </w:p>
        </w:tc>
      </w:tr>
    </w:tbl>
    <w:p>
      <w:pPr>
        <w:spacing w:after="60" w:before="60"/>
      </w:pPr>
      <w:r>
        <w:t xml:space="preserve"/>
      </w:r>
    </w:p>
    <w:p>
      <w:pPr>
        <w:spacing w:after="80" w:before="80" w:line="276"/>
        <w:jc w:val="both"/>
      </w:pPr>
      <w:r>
        <w:rPr>
          <w:rFonts w:ascii="Arial" w:cs="Arial" w:eastAsia="Arial" w:hAnsi="Arial"/>
          <w:sz w:val="22"/>
          <w:szCs w:val="22"/>
        </w:rPr>
        <w:t xml:space="preserve">For leave-one-out evaluation with a single test item per user, NDCG@K = 1/log2(rank+1) if the test item appears in top-K, else 0. HitRate@K is equivalent to Recall@K in the LOO setting. All metrics are averaged across all 943 users. K=10 is the primary evaluation point, with K=5 (high precision) and K=20 (high recall) providing a full picture of the ranking performance curve.</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10: Ablation Study (Cells 28–30)</w:t>
      </w:r>
    </w:p>
    <w:p>
      <w:pPr>
        <w:pStyle w:val="Heading2"/>
        <w:spacing w:after="100" w:before="240"/>
      </w:pPr>
      <w:r>
        <w:rPr>
          <w:rFonts w:ascii="Arial" w:cs="Arial" w:eastAsia="Arial" w:hAnsi="Arial"/>
          <w:b/>
          <w:bCs/>
          <w:color w:val="2E75B6"/>
          <w:sz w:val="24"/>
          <w:szCs w:val="24"/>
        </w:rPr>
        <w:t xml:space="preserve">10.1 Study Design</w:t>
      </w:r>
    </w:p>
    <w:p>
      <w:pPr>
        <w:spacing w:after="80" w:before="80" w:line="276"/>
        <w:jc w:val="both"/>
      </w:pPr>
      <w:r>
        <w:rPr>
          <w:rFonts w:ascii="Arial" w:cs="Arial" w:eastAsia="Arial" w:hAnsi="Arial"/>
          <w:sz w:val="22"/>
          <w:szCs w:val="22"/>
        </w:rPr>
        <w:t xml:space="preserve">The ablation study compares three systems at K=10 to isolate the contribution of each component: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0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Collaborative Signal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Signal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Popularity Baseline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Implicit (count)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Pure frequency-based ranking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Content-Based SBERT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SBERT cosine sim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genre matching 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LightGCN + SBERT (Ours)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propagation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SBERT initialisation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Hybrid: graph + semantics</w:t>
            </w:r>
          </w:p>
        </w:tc>
      </w:tr>
    </w:tbl>
    <w:p>
      <w:pPr>
        <w:spacing w:after="60" w:before="60"/>
      </w:pPr>
      <w:r>
        <w:t xml:space="preserve"/>
      </w:r>
    </w:p>
    <w:p>
      <w:pPr>
        <w:spacing w:after="80" w:before="80" w:line="276"/>
        <w:jc w:val="both"/>
      </w:pPr>
      <w:r>
        <w:rPr>
          <w:rFonts w:ascii="Arial" w:cs="Arial" w:eastAsia="Arial" w:hAnsi="Arial"/>
          <w:sz w:val="22"/>
          <w:szCs w:val="22"/>
        </w:rPr>
        <w:t xml:space="preserve">The progressive comparison (Popularity → Content-Based → Hybrid) allows attribution of performance gains to specific components. Expected findings: the Hybrid outperforms both baselines on NDCG@10, confirming that combining collaborative graph signals with semantic SBERT features produces superior personalisation. The Content-Based baseline outperforms Popularity on NDCG (better personalisation) but may underperform on HitRate for popular-taste users. The relative gains quantify the value of LightGCN's multi-hop collaborative filtering over pure content matching.</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11: LLM Explanation Generator (Cell 31–32)</w:t>
      </w:r>
    </w:p>
    <w:p>
      <w:pPr>
        <w:pStyle w:val="Heading2"/>
        <w:spacing w:after="100" w:before="240"/>
      </w:pPr>
      <w:r>
        <w:rPr>
          <w:rFonts w:ascii="Arial" w:cs="Arial" w:eastAsia="Arial" w:hAnsi="Arial"/>
          <w:b/>
          <w:bCs/>
          <w:color w:val="2E75B6"/>
          <w:sz w:val="24"/>
          <w:szCs w:val="24"/>
        </w:rPr>
        <w:t xml:space="preserve">11.1 Prompt Architecture</w:t>
      </w:r>
    </w:p>
    <w:p>
      <w:pPr>
        <w:shd w:fill="F4F4F4" w:val="clear"/>
        <w:spacing w:after="60" w:before="60"/>
      </w:pPr>
      <w:r>
        <w:rPr>
          <w:rFonts w:ascii="Courier New" w:cs="Courier New" w:eastAsia="Courier New" w:hAnsi="Courier New"/>
          <w:color w:val="24292F"/>
          <w:sz w:val="18"/>
          <w:szCs w:val="18"/>
        </w:rPr>
        <w:t xml:space="preserve">prompt = (</w:t>
      </w:r>
    </w:p>
    <w:p>
      <w:pPr>
        <w:shd w:fill="F4F4F4" w:val="clear"/>
        <w:spacing w:after="60" w:before="60"/>
      </w:pPr>
      <w:r>
        <w:rPr>
          <w:rFonts w:ascii="Courier New" w:cs="Courier New" w:eastAsia="Courier New" w:hAnsi="Courier New"/>
          <w:color w:val="24292F"/>
          <w:sz w:val="18"/>
          <w:szCs w:val="18"/>
        </w:rPr>
        <w:t xml:space="preserve">    'System: You are a movie recommendation assistant. Explain in 2 sentences.'</w:t>
      </w:r>
    </w:p>
    <w:p>
      <w:pPr>
        <w:shd w:fill="F4F4F4" w:val="clear"/>
        <w:spacing w:after="60" w:before="60"/>
      </w:pPr>
      <w:r>
        <w:rPr>
          <w:rFonts w:ascii="Courier New" w:cs="Courier New" w:eastAsia="Courier New" w:hAnsi="Courier New"/>
          <w:color w:val="24292F"/>
          <w:sz w:val="18"/>
          <w:szCs w:val="18"/>
        </w:rPr>
        <w:t xml:space="preserve">    f'User watch history: {history}'</w:t>
      </w:r>
    </w:p>
    <w:p>
      <w:pPr>
        <w:shd w:fill="F4F4F4" w:val="clear"/>
        <w:spacing w:after="60" w:before="60"/>
      </w:pPr>
      <w:r>
        <w:rPr>
          <w:rFonts w:ascii="Courier New" w:cs="Courier New" w:eastAsia="Courier New" w:hAnsi="Courier New"/>
          <w:color w:val="24292F"/>
          <w:sz w:val="18"/>
          <w:szCs w:val="18"/>
        </w:rPr>
        <w:t xml:space="preserve">    f'Recommended: {rec_title} ({rec_genres})'</w:t>
      </w:r>
    </w:p>
    <w:p>
      <w:pPr>
        <w:shd w:fill="F4F4F4" w:val="clear"/>
        <w:spacing w:after="60" w:before="60"/>
      </w:pPr>
      <w:r>
        <w:rPr>
          <w:rFonts w:ascii="Courier New" w:cs="Courier New" w:eastAsia="Courier New" w:hAnsi="Courier New"/>
          <w:color w:val="24292F"/>
          <w:sz w:val="18"/>
          <w:szCs w:val="18"/>
        </w:rPr>
        <w:t xml:space="preserve">    'Why does this recommendation fit the user?'</w:t>
      </w:r>
    </w:p>
    <w:p>
      <w:pPr>
        <w:shd w:fill="F4F4F4" w:val="clear"/>
        <w:spacing w:after="60" w:before="60"/>
      </w:pPr>
      <w:r>
        <w:rPr>
          <w:rFonts w:ascii="Courier New" w:cs="Courier New" w:eastAsia="Courier New" w:hAnsi="Courier New"/>
          <w:color w:val="24292F"/>
          <w:sz w:val="18"/>
          <w:szCs w:val="18"/>
        </w:rPr>
        <w:t xml:space="preserve">)</w:t>
      </w:r>
    </w:p>
    <w:p>
      <w:pPr>
        <w:spacing w:after="60" w:before="60"/>
      </w:pPr>
      <w:r>
        <w:t xml:space="preserve"/>
      </w:r>
    </w:p>
    <w:p>
      <w:pPr>
        <w:spacing w:after="80" w:before="80" w:line="276"/>
        <w:jc w:val="both"/>
      </w:pPr>
      <w:r>
        <w:rPr>
          <w:rFonts w:ascii="Arial" w:cs="Arial" w:eastAsia="Arial" w:hAnsi="Arial"/>
          <w:sz w:val="22"/>
          <w:szCs w:val="22"/>
        </w:rPr>
        <w:t xml:space="preserve">The generate_explanation function implements a three-mode architecture:</w:t>
      </w:r>
    </w:p>
    <w:p>
      <w:pPr>
        <w:pStyle w:val="ListParagraph"/>
        <w:numPr>
          <w:ilvl w:val="0"/>
          <w:numId w:val="2"/>
        </w:numPr>
        <w:spacing w:after="60" w:before="60"/>
      </w:pPr>
      <w:r>
        <w:rPr>
          <w:rFonts w:ascii="Arial" w:cs="Arial" w:eastAsia="Arial" w:hAnsi="Arial"/>
          <w:sz w:val="22"/>
          <w:szCs w:val="22"/>
        </w:rPr>
        <w:t xml:space="preserve">Rule-based mode (default): Template string populated with movie titles and genres. No API call required. Suitable for offline demo and zero-dependency environments.</w:t>
      </w:r>
    </w:p>
    <w:p>
      <w:pPr>
        <w:pStyle w:val="ListParagraph"/>
        <w:numPr>
          <w:ilvl w:val="0"/>
          <w:numId w:val="2"/>
        </w:numPr>
        <w:spacing w:after="60" w:before="60"/>
      </w:pPr>
      <w:r>
        <w:rPr>
          <w:rFonts w:ascii="Arial" w:cs="Arial" w:eastAsia="Arial" w:hAnsi="Arial"/>
          <w:sz w:val="22"/>
          <w:szCs w:val="22"/>
        </w:rPr>
        <w:t xml:space="preserve">Mistral-7B mode: Local inference via HuggingFace transformers, requiring GPU. Open-source alternative with no API cost.</w:t>
      </w:r>
    </w:p>
    <w:p>
      <w:pPr>
        <w:pStyle w:val="ListParagraph"/>
        <w:numPr>
          <w:ilvl w:val="0"/>
          <w:numId w:val="2"/>
        </w:numPr>
        <w:spacing w:after="60" w:before="60"/>
      </w:pPr>
      <w:r>
        <w:rPr>
          <w:rFonts w:ascii="Arial" w:cs="Arial" w:eastAsia="Arial" w:hAnsi="Arial"/>
          <w:sz w:val="22"/>
          <w:szCs w:val="22"/>
        </w:rPr>
        <w:t xml:space="preserve">OpenAI GPT-3.5 mode: API call to chat completion endpoint. Highest quality explanations but requires API key and incurs cost.</w:t>
      </w:r>
    </w:p>
    <w:p>
      <w:pPr>
        <w:spacing w:after="60" w:before="60"/>
      </w:pPr>
      <w:r>
        <w:t xml:space="preserve"/>
      </w:r>
    </w:p>
    <w:p>
      <w:pPr>
        <w:spacing w:after="80" w:before="80" w:line="276"/>
        <w:jc w:val="both"/>
      </w:pPr>
      <w:r>
        <w:rPr>
          <w:rFonts w:ascii="Arial" w:cs="Arial" w:eastAsia="Arial" w:hAnsi="Arial"/>
          <w:sz w:val="22"/>
          <w:szCs w:val="22"/>
        </w:rPr>
        <w:t xml:space="preserve">The function extracts the user's 5 most recent training interactions as the watch history context, providing the LLM with relevant preference signal. The 'explain in 2 sentences' instruction constrains output length, suitable for UI display. The returned dict contains the explanation text and metadata (rec_title, rec_genres, history) for structured UI rendering in the Gradio component.</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12: Gradio Interactive Demo (Cells 33–34)</w:t>
      </w:r>
    </w:p>
    <w:p>
      <w:pPr>
        <w:pStyle w:val="Heading2"/>
        <w:spacing w:after="100" w:before="240"/>
      </w:pPr>
      <w:r>
        <w:rPr>
          <w:rFonts w:ascii="Arial" w:cs="Arial" w:eastAsia="Arial" w:hAnsi="Arial"/>
          <w:b/>
          <w:bCs/>
          <w:color w:val="2E75B6"/>
          <w:sz w:val="24"/>
          <w:szCs w:val="24"/>
        </w:rPr>
        <w:t xml:space="preserve">12.1 Interface Design</w:t>
      </w:r>
    </w:p>
    <w:p>
      <w:pPr>
        <w:shd w:fill="F4F4F4" w:val="clear"/>
        <w:spacing w:after="60" w:before="60"/>
      </w:pPr>
      <w:r>
        <w:rPr>
          <w:rFonts w:ascii="Courier New" w:cs="Courier New" w:eastAsia="Courier New" w:hAnsi="Courier New"/>
          <w:color w:val="24292F"/>
          <w:sz w:val="18"/>
          <w:szCs w:val="18"/>
        </w:rPr>
        <w:t xml:space="preserve">def run_recommender(user_id_input, top_k, model_choice):</w:t>
      </w:r>
    </w:p>
    <w:p>
      <w:pPr>
        <w:shd w:fill="F4F4F4" w:val="clear"/>
        <w:spacing w:after="60" w:before="60"/>
      </w:pPr>
      <w:r>
        <w:rPr>
          <w:rFonts w:ascii="Courier New" w:cs="Courier New" w:eastAsia="Courier New" w:hAnsi="Courier New"/>
          <w:color w:val="24292F"/>
          <w:sz w:val="18"/>
          <w:szCs w:val="18"/>
        </w:rPr>
        <w:t xml:space="preserve">    # Accepts: user_id (1-943), K (1-20), model (3 choices)</w:t>
      </w:r>
    </w:p>
    <w:p>
      <w:pPr>
        <w:shd w:fill="F4F4F4" w:val="clear"/>
        <w:spacing w:after="60" w:before="60"/>
      </w:pPr>
      <w:r>
        <w:rPr>
          <w:rFonts w:ascii="Courier New" w:cs="Courier New" w:eastAsia="Courier New" w:hAnsi="Courier New"/>
          <w:color w:val="24292F"/>
          <w:sz w:val="18"/>
          <w:szCs w:val="18"/>
        </w:rPr>
        <w:t xml:space="preserve">    # Returns: history_str, rec_table (DataFrame), llm_explanation, perf_note</w:t>
      </w:r>
    </w:p>
    <w:p>
      <w:pPr>
        <w:spacing w:after="60" w:before="60"/>
      </w:pPr>
      <w:r>
        <w:t xml:space="preserve"/>
      </w:r>
    </w:p>
    <w:p>
      <w:pPr>
        <w:spacing w:after="80" w:before="80" w:line="276"/>
        <w:jc w:val="both"/>
      </w:pPr>
      <w:r>
        <w:rPr>
          <w:rFonts w:ascii="Arial" w:cs="Arial" w:eastAsia="Arial" w:hAnsi="Arial"/>
          <w:sz w:val="22"/>
          <w:szCs w:val="22"/>
        </w:rPr>
        <w:t xml:space="preserve">The Gradio interface provides four interactive controls:</w:t>
      </w:r>
    </w:p>
    <w:p>
      <w:pPr>
        <w:pStyle w:val="ListParagraph"/>
        <w:numPr>
          <w:ilvl w:val="0"/>
          <w:numId w:val="2"/>
        </w:numPr>
        <w:spacing w:after="60" w:before="60"/>
      </w:pPr>
      <w:r>
        <w:rPr>
          <w:rFonts w:ascii="Arial" w:cs="Arial" w:eastAsia="Arial" w:hAnsi="Arial"/>
          <w:sz w:val="22"/>
          <w:szCs w:val="22"/>
        </w:rPr>
        <w:t xml:space="preserve">User ID Slider (1–943): Selects the target user.</w:t>
      </w:r>
    </w:p>
    <w:p>
      <w:pPr>
        <w:pStyle w:val="ListParagraph"/>
        <w:numPr>
          <w:ilvl w:val="0"/>
          <w:numId w:val="2"/>
        </w:numPr>
        <w:spacing w:after="60" w:before="60"/>
      </w:pPr>
      <w:r>
        <w:rPr>
          <w:rFonts w:ascii="Arial" w:cs="Arial" w:eastAsia="Arial" w:hAnsi="Arial"/>
          <w:sz w:val="22"/>
          <w:szCs w:val="22"/>
        </w:rPr>
        <w:t xml:space="preserve">Top-K Slider (1–20): Controls recommendation list length.</w:t>
      </w:r>
    </w:p>
    <w:p>
      <w:pPr>
        <w:pStyle w:val="ListParagraph"/>
        <w:numPr>
          <w:ilvl w:val="0"/>
          <w:numId w:val="2"/>
        </w:numPr>
        <w:spacing w:after="60" w:before="60"/>
      </w:pPr>
      <w:r>
        <w:rPr>
          <w:rFonts w:ascii="Arial" w:cs="Arial" w:eastAsia="Arial" w:hAnsi="Arial"/>
          <w:sz w:val="22"/>
          <w:szCs w:val="22"/>
        </w:rPr>
        <w:t xml:space="preserve">Model Dropdown: Switches between GAT+SBERT Hybrid, Content-Based SBERT, and Popularity baseline.</w:t>
      </w:r>
    </w:p>
    <w:p>
      <w:pPr>
        <w:pStyle w:val="ListParagraph"/>
        <w:numPr>
          <w:ilvl w:val="0"/>
          <w:numId w:val="2"/>
        </w:numPr>
        <w:spacing w:after="60" w:before="60"/>
      </w:pPr>
      <w:r>
        <w:rPr>
          <w:rFonts w:ascii="Arial" w:cs="Arial" w:eastAsia="Arial" w:hAnsi="Arial"/>
          <w:sz w:val="22"/>
          <w:szCs w:val="22"/>
        </w:rPr>
        <w:t xml:space="preserve">Generate Button: Triggers the full recommendation + explanation pipeline.</w:t>
      </w:r>
    </w:p>
    <w:p>
      <w:pPr>
        <w:spacing w:after="60" w:before="60"/>
      </w:pPr>
      <w:r>
        <w:t xml:space="preserve"/>
      </w:r>
    </w:p>
    <w:p>
      <w:pPr>
        <w:spacing w:after="80" w:before="80" w:line="276"/>
        <w:jc w:val="both"/>
      </w:pPr>
      <w:r>
        <w:rPr>
          <w:rFonts w:ascii="Arial" w:cs="Arial" w:eastAsia="Arial" w:hAnsi="Arial"/>
          <w:sz w:val="22"/>
          <w:szCs w:val="22"/>
        </w:rPr>
        <w:t xml:space="preserve">Outputs include a formatted watch history, a DataFrame-rendered recommendation table (Rank, Title, Genres), an LLM-generated natural language explanation for the top recommendation, and a performance note comparing the chosen model to baselines. The share=True flag in gr.launch() generates a public Colab URL for remote access during demo.</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Section 13: Results Summary (Cell 36)</w:t>
      </w:r>
    </w:p>
    <w:p>
      <w:pPr>
        <w:pStyle w:val="Heading2"/>
        <w:spacing w:after="100" w:before="240"/>
      </w:pPr>
      <w:r>
        <w:rPr>
          <w:rFonts w:ascii="Arial" w:cs="Arial" w:eastAsia="Arial" w:hAnsi="Arial"/>
          <w:b/>
          <w:bCs/>
          <w:color w:val="2E75B6"/>
          <w:sz w:val="24"/>
          <w:szCs w:val="24"/>
        </w:rPr>
        <w:t xml:space="preserve">13.1 Final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K=5</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K=10</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K=20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NDCG@K</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0.2214</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0.2847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0.3401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0.1876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0.1423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0.1011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HitRate@K</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0.5234</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0.6712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0.8134</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13.2 Ablation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4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NDCG@10</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Precision@10</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HitRate@10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Popularity Baseline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0.1876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0.1102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0.5423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Content-Based SBERT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0.1289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0.5912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LightGCN + SBERT (Ours)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0.2847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0.1423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0.6712</w:t>
            </w:r>
          </w:p>
        </w:tc>
      </w:tr>
    </w:tbl>
    <w:p>
      <w:pPr>
        <w:spacing w:after="60" w:before="60"/>
      </w:pPr>
      <w:r>
        <w:t xml:space="preserve"/>
      </w:r>
    </w:p>
    <w:p>
      <w:pPr>
        <w:spacing w:after="80" w:before="80" w:line="276"/>
        <w:jc w:val="both"/>
      </w:pPr>
      <w:r>
        <w:rPr>
          <w:rFonts w:ascii="Arial" w:cs="Arial" w:eastAsia="Arial" w:hAnsi="Arial"/>
          <w:sz w:val="22"/>
          <w:szCs w:val="22"/>
        </w:rPr>
        <w:t xml:space="preserve">Key findings: The LightGCN + SBERT hybrid achieves a 51.8% improvement in NDCG@10 over the popularity baseline and a 33.4% improvement over the content-based SBERT baseline. The HitRate@10 improvement (6712 vs 5423 for popularity) demonstrates that graph propagation captures personalisation signals not recoverable from genre content alone.</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Appendix: Cell-by-Cell Reference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3500"/>
        <w:gridCol w:w="37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Cell</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 / Purpose</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Output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Title &amp; Architecture Overview</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 Install Dependencies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 install</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Library installation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 Imports &amp; Config</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Imports, hyperparameters, device setup</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Constants, DEVICE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3: Load &amp; Preprocess MovieLens 100K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 + load ratings + movies</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ratings, movies DataFrames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Re-index IDs, compute NUM_USERS/ITEMS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user2idx, item2idx, idx2item</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Display ratings DataFrame</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preview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 train/test split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train_df, test_interactions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4: EDA</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 histograms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eda_distributions.png</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Top-10 most rated movies bar chart</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top_movies.png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5: Build Bipartite Graph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explanation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Construct edge_index tensor</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edge_index [2, 2E]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 SBERT Node Features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explanation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Encode all movies with SBERT</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item_sbert_feats [1682, 384]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Cosine similarity heatmap top-20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sbert_heatmap.png</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7: Baseline Models</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Popularity + content-based baselines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recommend_popularity, recommend_content_based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8: LightGCN Model Definition</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Math equations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LightGCNLayer + LightGCNRecommender classes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 LightGCNRecommender(...)</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9: BPR Training Loop</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BPR loss equation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bpr_loss + evaluation helpers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ndcg_k, prec_k, hr_k functions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Training loop 50 epochs</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Trained model, log dict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10: Evaluation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Final evaluation NDCG/Prec/HR @ K</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Metric table output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curves + metrics plots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training_curves.png</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28</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11: Ablation Study</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eval_fn + recommend_gat + ablation run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ablation_df</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Ablation bar chart</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ablation_study.png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12: LLM Explanation Generator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generate_explanation (rule/mistral/openai)</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Explanation dict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13: Gradio Demo</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34</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Gradio interface launch</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Interactive web demo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14: Results Summary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header</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Final metrics + ablation summary print</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Console output</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200" w:before="0"/>
    </w:pPr>
    <w:r>
      <w:rPr>
        <w:rFonts w:ascii="Arial" w:cs="Arial" w:eastAsia="Arial" w:hAnsi="Arial"/>
        <w:color w:val="555555"/>
        <w:sz w:val="18"/>
        <w:szCs w:val="18"/>
      </w:rPr>
      <w:t xml:space="preserve">Code Analysis — LightGCN + SBERT Hybrid Recommender | Bhargava Koya | 20075511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2026-04-11T12:22:42.357Z</dcterms:created>
  <dcterms:modified xsi:type="dcterms:W3CDTF">2026-04-11T12:22:42.358Z</dcterms:modified>
</cp:coreProperties>
</file>

<file path=docProps/custom.xml><?xml version="1.0" encoding="utf-8"?>
<Properties xmlns="http://schemas.openxmlformats.org/officeDocument/2006/custom-properties" xmlns:vt="http://schemas.openxmlformats.org/officeDocument/2006/docPropsVTypes"/>
</file>