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Times New Roman" w:hAnsi="Times New Roman"/>
          <w:b/>
        </w:rPr>
        <w:t xml:space="preserve">USN NUMBER: </w:t>
      </w:r>
      <w:r>
        <w:rPr>
          <w:rFonts w:ascii="Times New Roman" w:hAnsi="Times New Roman"/>
        </w:rPr>
        <w:t>1RUB25CSE0004</w:t>
      </w:r>
    </w:p>
    <w:p>
      <w:pPr>
        <w:spacing w:after="40"/>
      </w:pPr>
      <w:r>
        <w:rPr>
          <w:rFonts w:ascii="Times New Roman" w:hAnsi="Times New Roman"/>
          <w:b/>
        </w:rPr>
        <w:t>NAME:</w:t>
      </w:r>
      <w:r>
        <w:rPr>
          <w:rFonts w:ascii="Times New Roman" w:hAnsi="Times New Roman"/>
        </w:rPr>
        <w:t>Bhargav R Rao</w:t>
      </w:r>
    </w:p>
    <w:p>
      <w:pPr>
        <w:spacing w:after="160" w:line="300" w:lineRule="auto"/>
      </w:pPr>
    </w:p>
    <w:p>
      <w:pPr>
        <w:spacing w:after="160" w:line="300" w:lineRule="auto"/>
      </w:pPr>
    </w:p>
    <w:tbl>
      <w:tblPr>
        <w:tblW w:type="auto" w:w="0"/>
        <w:jc w:val="center"/>
        <w:tblLayout w:type="fixed"/>
        <w:tblLook w:firstColumn="1" w:firstRow="1" w:lastColumn="0" w:lastRow="0" w:noHBand="0" w:noVBand="1" w:val="04A0"/>
      </w:tblPr>
      <w:tblGrid>
        <w:gridCol w:w="2381"/>
        <w:gridCol w:w="6803"/>
      </w:tblGrid>
      <w:tr>
        <w:tc>
          <w:tcPr>
            <w:tcW w:type="dxa" w:w="2381"/>
            <w:tcBorders>
              <w:top w:val="single" w:sz="4" w:space="0" w:color="999999"/>
              <w:left w:val="single" w:sz="4" w:space="0" w:color="999999"/>
              <w:bottom w:val="single" w:sz="4" w:space="0" w:color="999999"/>
              <w:right w:val="single" w:sz="4" w:space="0" w:color="999999"/>
            </w:tcBorders>
          </w:tcPr>
          <w:p>
            <w:pPr>
              <w:spacing w:before="120" w:after="120"/>
            </w:pPr>
            <w:r>
              <w:rPr>
                <w:rFonts w:ascii="Times New Roman" w:hAnsi="Times New Roman"/>
                <w:sz w:val="21"/>
              </w:rPr>
              <w:t>Ex No: 1</w:t>
            </w:r>
          </w:p>
          <w:p>
            <w:pPr>
              <w:spacing w:after="120"/>
            </w:pPr>
            <w:r>
              <w:rPr>
                <w:rFonts w:ascii="Times New Roman" w:hAnsi="Times New Roman"/>
                <w:sz w:val="21"/>
              </w:rPr>
              <w:t>Date: 16-09-2026</w:t>
            </w:r>
          </w:p>
        </w:tc>
        <w:tc>
          <w:tcPr>
            <w:tcW w:type="dxa" w:w="6803"/>
            <w:tcBorders>
              <w:top w:val="single" w:sz="4" w:space="0" w:color="999999"/>
              <w:left w:val="single" w:sz="4" w:space="0" w:color="999999"/>
              <w:bottom w:val="single" w:sz="4" w:space="0" w:color="999999"/>
              <w:right w:val="single" w:sz="4" w:space="0" w:color="999999"/>
            </w:tcBorders>
          </w:tcPr>
          <w:p>
            <w:pPr>
              <w:spacing w:before="120" w:after="120"/>
              <w:jc w:val="center"/>
            </w:pPr>
            <w:r>
              <w:rPr>
                <w:rFonts w:ascii="Times New Roman" w:hAnsi="Times New Roman"/>
                <w:b/>
                <w:sz w:val="28"/>
              </w:rPr>
              <w:t>Inherently Interpretable Models</w:t>
            </w:r>
          </w:p>
        </w:tc>
      </w:tr>
    </w:tbl>
    <w:p>
      <w:pPr>
        <w:spacing w:after="160" w:line="300" w:lineRule="auto"/>
      </w:pPr>
    </w:p>
    <w:p>
      <w:pPr>
        <w:spacing w:after="120" w:line="300" w:lineRule="auto"/>
      </w:pPr>
      <w:r>
        <w:rPr>
          <w:rFonts w:ascii="Times New Roman" w:hAnsi="Times New Roman"/>
          <w:b w:val="0"/>
          <w:i w:val="0"/>
          <w:sz w:val="26"/>
        </w:rPr>
        <w:t>Objective</w:t>
      </w:r>
    </w:p>
    <w:p>
      <w:pPr>
        <w:spacing w:after="160" w:line="300" w:lineRule="auto"/>
      </w:pPr>
      <w:r>
        <w:rPr>
          <w:rFonts w:ascii="Times New Roman" w:hAnsi="Times New Roman"/>
          <w:b w:val="0"/>
          <w:i w:val="0"/>
        </w:rPr>
        <w:t>To implement and evaluate inherently interpretable machine learning models for breast cancer classification, and to understand how their internal parameters, decision rules, nearest examples, likelihood contributions, and feature-wise shape functions can be used to explain predictions. The lab also aims to compare the accuracy and interpretability of different models.</w:t>
      </w:r>
    </w:p>
    <w:p>
      <w:pPr>
        <w:spacing w:after="120" w:line="300" w:lineRule="auto"/>
      </w:pPr>
      <w:r>
        <w:rPr>
          <w:rFonts w:ascii="Times New Roman" w:hAnsi="Times New Roman"/>
          <w:b w:val="0"/>
          <w:i w:val="0"/>
          <w:color w:val="000000"/>
          <w:sz w:val="26"/>
        </w:rPr>
        <w:t>Description</w:t>
      </w:r>
    </w:p>
    <w:p>
      <w:pPr>
        <w:spacing w:after="160" w:line="300" w:lineRule="auto"/>
      </w:pPr>
      <w:r>
        <w:rPr>
          <w:rFonts w:ascii="Times New Roman" w:hAnsi="Times New Roman"/>
          <w:b w:val="0"/>
          <w:i w:val="0"/>
        </w:rPr>
        <w:t>In this laboratory, the Breast Cancer Wisconsin (Diagnostic) dataset is used as a binary classification problem to distinguish between malignant and benign cases. Six clinically meaningful features—mean radius, mean texture, mean perimeter, mean smoothness, mean concavity, and worst area—are selected to make the models easier to interpret. The data is divided into training and testing sets, and feature standardization is applied where required.</w:t>
      </w:r>
    </w:p>
    <w:p>
      <w:pPr>
        <w:spacing w:after="160" w:line="300" w:lineRule="auto"/>
      </w:pPr>
      <w:r>
        <w:rPr>
          <w:rFonts w:ascii="Times New Roman" w:hAnsi="Times New Roman"/>
          <w:b w:val="0"/>
          <w:i w:val="0"/>
        </w:rPr>
        <w:t>The following inherently interpretable models are implemented:</w:t>
      </w:r>
    </w:p>
    <w:p>
      <w:pPr>
        <w:spacing w:after="40" w:line="300" w:lineRule="auto"/>
      </w:pPr>
      <w:r>
        <w:rPr>
          <w:rFonts w:ascii="Times New Roman" w:hAnsi="Times New Roman"/>
          <w:b w:val="0"/>
          <w:i w:val="0"/>
        </w:rPr>
        <w:t>1. Logistic Regression – interprets predictions using feature coefficients and odds ratios.</w:t>
      </w:r>
    </w:p>
    <w:p>
      <w:pPr>
        <w:spacing w:after="40" w:line="300" w:lineRule="auto"/>
      </w:pPr>
      <w:r>
        <w:rPr>
          <w:rFonts w:ascii="Times New Roman" w:hAnsi="Times New Roman"/>
          <w:b w:val="0"/>
          <w:i w:val="0"/>
        </w:rPr>
        <w:t>2. Decision Tree – explains predictions through decision paths and IF–THEN rules.</w:t>
      </w:r>
    </w:p>
    <w:p>
      <w:pPr>
        <w:spacing w:after="40" w:line="300" w:lineRule="auto"/>
      </w:pPr>
      <w:r>
        <w:rPr>
          <w:rFonts w:ascii="Times New Roman" w:hAnsi="Times New Roman"/>
          <w:b w:val="0"/>
          <w:i w:val="0"/>
        </w:rPr>
        <w:t>3. Explicit Rule List – extracts root-to-leaf paths from the decision tree as human-readable rules.</w:t>
      </w:r>
    </w:p>
    <w:p>
      <w:pPr>
        <w:spacing w:after="40" w:line="300" w:lineRule="auto"/>
      </w:pPr>
      <w:r>
        <w:rPr>
          <w:rFonts w:ascii="Times New Roman" w:hAnsi="Times New Roman"/>
          <w:b w:val="0"/>
          <w:i w:val="0"/>
        </w:rPr>
        <w:t>4. k-Nearest Neighbors (k-NN) – explains predictions using the most similar training patients.</w:t>
      </w:r>
    </w:p>
    <w:p>
      <w:pPr>
        <w:spacing w:after="40" w:line="300" w:lineRule="auto"/>
      </w:pPr>
      <w:r>
        <w:rPr>
          <w:rFonts w:ascii="Times New Roman" w:hAnsi="Times New Roman"/>
          <w:b w:val="0"/>
          <w:i w:val="0"/>
        </w:rPr>
        <w:t>5. Gaussian Naive Bayes – explains predictions using per-feature likelihood contributions.</w:t>
      </w:r>
    </w:p>
    <w:p>
      <w:pPr>
        <w:spacing w:after="40" w:line="300" w:lineRule="auto"/>
      </w:pPr>
      <w:r>
        <w:rPr>
          <w:rFonts w:ascii="Times New Roman" w:hAnsi="Times New Roman"/>
          <w:b w:val="0"/>
          <w:i w:val="0"/>
        </w:rPr>
        <w:t>6. Generalized Additive Model (GAM) – explains predictions using a separate smooth shape function per feature.</w:t>
      </w:r>
    </w:p>
    <w:p>
      <w:pPr>
        <w:spacing w:after="160" w:line="300" w:lineRule="auto"/>
      </w:pPr>
    </w:p>
    <w:p>
      <w:pPr>
        <w:spacing w:after="120" w:line="300" w:lineRule="auto"/>
      </w:pPr>
      <w:r>
        <w:rPr>
          <w:rFonts w:ascii="Times New Roman" w:hAnsi="Times New Roman"/>
          <w:b/>
          <w:i w:val="0"/>
          <w:color w:val="2A5C8A"/>
          <w:sz w:val="26"/>
        </w:rPr>
        <w:t>Model</w:t>
      </w:r>
    </w:p>
    <w:p>
      <w:pPr>
        <w:jc w:val="center"/>
      </w:pPr>
      <w:r>
        <w:drawing>
          <wp:inline xmlns:a="http://schemas.openxmlformats.org/drawingml/2006/main" xmlns:pic="http://schemas.openxmlformats.org/drawingml/2006/picture">
            <wp:extent cx="5760720" cy="2301783"/>
            <wp:docPr id="1" name="Picture 1"/>
            <wp:cNvGraphicFramePr>
              <a:graphicFrameLocks noChangeAspect="1"/>
            </wp:cNvGraphicFramePr>
            <a:graphic>
              <a:graphicData uri="http://schemas.openxmlformats.org/drawingml/2006/picture">
                <pic:pic>
                  <pic:nvPicPr>
                    <pic:cNvPr id="0" name="iim_model_diagram.png"/>
                    <pic:cNvPicPr/>
                  </pic:nvPicPr>
                  <pic:blipFill>
                    <a:blip r:embed="rId9"/>
                    <a:stretch>
                      <a:fillRect/>
                    </a:stretch>
                  </pic:blipFill>
                  <pic:spPr>
                    <a:xfrm>
                      <a:off x="0" y="0"/>
                      <a:ext cx="5760720" cy="2301783"/>
                    </a:xfrm>
                    <a:prstGeom prst="rect"/>
                  </pic:spPr>
                </pic:pic>
              </a:graphicData>
            </a:graphic>
          </wp:inline>
        </w:drawing>
      </w:r>
    </w:p>
    <w:p>
      <w:pPr>
        <w:spacing w:after="160" w:line="300" w:lineRule="auto"/>
        <w:jc w:val="center"/>
      </w:pPr>
      <w:r>
        <w:rPr>
          <w:rFonts w:ascii="Times New Roman" w:hAnsi="Times New Roman"/>
          <w:b w:val="0"/>
          <w:i/>
          <w:sz w:val="19"/>
        </w:rPr>
        <w:t>All six models are trained on the same six standardised features; each is paired with its own native explanation mechanism (coefficients, a decision path, an IF-THEN rule, nearest neighbours, per-feature likelihoods, or shape functions), and the models are then compared on accuracy and on how much work each explanation takes to inspect.</w:t>
      </w:r>
    </w:p>
    <w:p>
      <w:pPr>
        <w:spacing w:after="120" w:line="300" w:lineRule="auto"/>
      </w:pPr>
      <w:r>
        <w:rPr>
          <w:rFonts w:ascii="Times New Roman" w:hAnsi="Times New Roman"/>
          <w:b/>
          <w:i w:val="0"/>
          <w:color w:val="2A5C8A"/>
          <w:sz w:val="26"/>
        </w:rPr>
        <w:t>Algorithm</w:t>
      </w:r>
    </w:p>
    <w:p>
      <w:pPr>
        <w:spacing w:after="160" w:line="300" w:lineRule="auto"/>
      </w:pPr>
      <w:r>
        <w:rPr>
          <w:rFonts w:ascii="Times New Roman" w:hAnsi="Times New Roman"/>
          <w:b/>
          <w:i w:val="0"/>
          <w:sz w:val="23"/>
        </w:rPr>
        <w:t>Algorithm: Comparison of Inherently Interpretable Models</w:t>
      </w:r>
    </w:p>
    <w:p>
      <w:pPr>
        <w:pStyle w:val="ListNumber"/>
        <w:spacing w:after="80"/>
      </w:pPr>
      <w:r>
        <w:rPr>
          <w:rFonts w:ascii="Times New Roman" w:hAnsi="Times New Roman"/>
          <w:b/>
        </w:rPr>
        <w:t>Start.</w:t>
      </w:r>
    </w:p>
    <w:p>
      <w:pPr>
        <w:pStyle w:val="ListNumber"/>
        <w:spacing w:after="80"/>
      </w:pPr>
      <w:r>
        <w:rPr>
          <w:rFonts w:ascii="Times New Roman" w:hAnsi="Times New Roman"/>
        </w:rPr>
        <w:t>Import the required Python libraries and machine learning algorithms.</w:t>
      </w:r>
    </w:p>
    <w:p>
      <w:pPr>
        <w:pStyle w:val="ListNumber"/>
        <w:spacing w:after="80"/>
      </w:pPr>
      <w:r>
        <w:rPr>
          <w:rFonts w:ascii="Times New Roman" w:hAnsi="Times New Roman"/>
        </w:rPr>
        <w:t>Load the Breast Cancer Wisconsin (Diagnostic) dataset.</w:t>
      </w:r>
    </w:p>
    <w:p>
      <w:pPr>
        <w:pStyle w:val="ListNumber"/>
        <w:spacing w:after="80"/>
      </w:pPr>
      <w:r>
        <w:rPr>
          <w:rFonts w:ascii="Times New Roman" w:hAnsi="Times New Roman"/>
        </w:rPr>
        <w:t>Select six clinically meaningful features: mean radius, mean texture, mean perimeter, mean smoothness, mean concavity, worst area.</w:t>
      </w:r>
    </w:p>
    <w:p>
      <w:pPr>
        <w:pStyle w:val="ListNumber"/>
        <w:spacing w:after="80"/>
      </w:pPr>
      <w:r>
        <w:rPr>
          <w:rFonts w:ascii="Times New Roman" w:hAnsi="Times New Roman"/>
        </w:rPr>
        <w:t>Separate the input features X and target variable y.</w:t>
      </w:r>
    </w:p>
    <w:p>
      <w:pPr>
        <w:pStyle w:val="ListNumber"/>
        <w:spacing w:after="80"/>
      </w:pPr>
      <w:r>
        <w:rPr>
          <w:rFonts w:ascii="Times New Roman" w:hAnsi="Times New Roman"/>
        </w:rPr>
        <w:t>Split the dataset into training and testing sets using stratified sampling.</w:t>
      </w:r>
    </w:p>
    <w:p>
      <w:pPr>
        <w:pStyle w:val="ListNumber"/>
        <w:spacing w:after="80"/>
      </w:pPr>
      <w:r>
        <w:rPr>
          <w:rFonts w:ascii="Times New Roman" w:hAnsi="Times New Roman"/>
        </w:rPr>
        <w:t>Standardize the selected features using StandardScaler.</w:t>
      </w:r>
    </w:p>
    <w:p>
      <w:pPr>
        <w:pStyle w:val="ListNumber"/>
        <w:spacing w:after="80"/>
      </w:pPr>
      <w:r>
        <w:rPr>
          <w:rFonts w:ascii="Times New Roman" w:hAnsi="Times New Roman"/>
        </w:rPr>
        <w:t>Train a Logistic Regression model.</w:t>
      </w:r>
    </w:p>
    <w:p>
      <w:pPr>
        <w:pStyle w:val="ListNumber"/>
        <w:spacing w:after="80"/>
      </w:pPr>
      <w:r>
        <w:rPr>
          <w:rFonts w:ascii="Times New Roman" w:hAnsi="Times New Roman"/>
        </w:rPr>
        <w:t>Obtain its coefficients and calculate odds ratios to interpret feature contributions.</w:t>
      </w:r>
    </w:p>
    <w:p>
      <w:pPr>
        <w:pStyle w:val="ListNumber"/>
        <w:spacing w:after="80"/>
      </w:pPr>
      <w:r>
        <w:rPr>
          <w:rFonts w:ascii="Times New Roman" w:hAnsi="Times New Roman"/>
        </w:rPr>
        <w:t>Train a Decision Tree with restricted depth and interpret its decision paths.</w:t>
      </w:r>
    </w:p>
    <w:p>
      <w:pPr>
        <w:pStyle w:val="ListNumber"/>
        <w:spacing w:after="80"/>
      </w:pPr>
      <w:r>
        <w:rPr>
          <w:rFonts w:ascii="Times New Roman" w:hAnsi="Times New Roman"/>
        </w:rPr>
        <w:t>Extract the tree's root-to-leaf paths as explicit IF–THEN rules.</w:t>
      </w:r>
    </w:p>
    <w:p>
      <w:pPr>
        <w:pStyle w:val="ListNumber"/>
        <w:spacing w:after="80"/>
      </w:pPr>
      <w:r>
        <w:rPr>
          <w:rFonts w:ascii="Times New Roman" w:hAnsi="Times New Roman"/>
        </w:rPr>
        <w:t>Train a k-NN classifier with k = 5.</w:t>
      </w:r>
    </w:p>
    <w:p>
      <w:pPr>
        <w:pStyle w:val="ListNumber"/>
        <w:spacing w:after="80"/>
      </w:pPr>
      <w:r>
        <w:rPr>
          <w:rFonts w:ascii="Times New Roman" w:hAnsi="Times New Roman"/>
        </w:rPr>
        <w:t>Identify the five nearest training examples for a test patient and use their majority class as the explanation.</w:t>
      </w:r>
    </w:p>
    <w:p>
      <w:pPr>
        <w:pStyle w:val="ListNumber"/>
        <w:spacing w:after="80"/>
      </w:pPr>
      <w:r>
        <w:rPr>
          <w:rFonts w:ascii="Times New Roman" w:hAnsi="Times New Roman"/>
        </w:rPr>
        <w:t>Train a Gaussian Naive Bayes classifier.</w:t>
      </w:r>
    </w:p>
    <w:p>
      <w:pPr>
        <w:pStyle w:val="ListNumber"/>
        <w:spacing w:after="80"/>
      </w:pPr>
      <w:r>
        <w:rPr>
          <w:rFonts w:ascii="Times New Roman" w:hAnsi="Times New Roman"/>
        </w:rPr>
        <w:t>Examine class-wise feature means and interpret the contribution of individual features using likelihoods.</w:t>
      </w:r>
    </w:p>
    <w:p>
      <w:pPr>
        <w:pStyle w:val="ListNumber"/>
        <w:spacing w:after="80"/>
      </w:pPr>
      <w:r>
        <w:rPr>
          <w:rFonts w:ascii="Times New Roman" w:hAnsi="Times New Roman"/>
        </w:rPr>
        <w:t>Train a Generalized Additive Model (GAM) using separate smooth functions for the six features.</w:t>
      </w:r>
    </w:p>
    <w:p>
      <w:pPr>
        <w:pStyle w:val="ListNumber"/>
        <w:spacing w:after="80"/>
      </w:pPr>
      <w:r>
        <w:rPr>
          <w:rFonts w:ascii="Times New Roman" w:hAnsi="Times New Roman"/>
        </w:rPr>
        <w:t>Evaluate all models using test accuracy.</w:t>
      </w:r>
    </w:p>
    <w:p>
      <w:pPr>
        <w:pStyle w:val="ListNumber"/>
        <w:spacing w:after="80"/>
      </w:pPr>
      <w:r>
        <w:rPr>
          <w:rFonts w:ascii="Times New Roman" w:hAnsi="Times New Roman"/>
        </w:rPr>
        <w:t>Compare the models based on: prediction accuracy, interpretability unit, number of units to inspect, manual simulability.</w:t>
      </w:r>
    </w:p>
    <w:p>
      <w:pPr>
        <w:pStyle w:val="ListNumber"/>
        <w:spacing w:after="80"/>
      </w:pPr>
      <w:r>
        <w:rPr>
          <w:rFonts w:ascii="Times New Roman" w:hAnsi="Times New Roman"/>
        </w:rPr>
        <w:t>Plot the accuracy comparison of all models.</w:t>
      </w:r>
    </w:p>
    <w:p>
      <w:pPr>
        <w:pStyle w:val="ListNumber"/>
        <w:spacing w:after="80"/>
      </w:pPr>
      <w:r>
        <w:rPr>
          <w:rFonts w:ascii="Times New Roman" w:hAnsi="Times New Roman"/>
        </w:rPr>
        <w:t>Analyze the accuracy–interpretability trade-off.</w:t>
      </w:r>
    </w:p>
    <w:p>
      <w:pPr>
        <w:pStyle w:val="ListNumber"/>
        <w:spacing w:after="80"/>
      </w:pPr>
      <w:r>
        <w:rPr>
          <w:rFonts w:ascii="Times New Roman" w:hAnsi="Times New Roman"/>
          <w:b/>
        </w:rPr>
        <w:t>Stop.</w:t>
      </w:r>
    </w:p>
    <w:p>
      <w:pPr>
        <w:spacing w:after="160" w:line="300" w:lineRule="auto"/>
      </w:pPr>
    </w:p>
    <w:p>
      <w:pPr>
        <w:spacing w:after="120" w:line="300" w:lineRule="auto"/>
      </w:pPr>
      <w:r>
        <w:rPr>
          <w:rFonts w:ascii="Times New Roman" w:hAnsi="Times New Roman"/>
          <w:b/>
          <w:i w:val="0"/>
          <w:color w:val="2A5C8A"/>
          <w:sz w:val="26"/>
        </w:rPr>
        <w:t>GitHub Link</w:t>
      </w:r>
    </w:p>
    <w:p>
      <w:pPr>
        <w:spacing w:after="160"/>
      </w:pPr>
      <w:hyperlink r:id="rId10">
        <w:r>
          <w:rPr>
            <w:rFonts w:ascii="Times New Roman" w:hAnsi="Times New Roman" w:cs="Times New Roman"/>
            <w:color w:val="0563C1"/>
            <w:u w:val="single"/>
          </w:rPr>
          <w:t>https://github.com/bhargavrrao-web/XAI_LABS-/blob/main/Inherently_Interpretable_Models.ipynb</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bhargavrrao-web/XAI_LABS-/blob/main/Inherently_Interpretable_Models.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