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A365D"/>
          <w:sz w:val="48"/>
        </w:rPr>
        <w:t>Guardian AI Backend Documentation</w:t>
      </w:r>
    </w:p>
    <w:p>
      <w:pPr>
        <w:spacing w:after="480"/>
        <w:pBdr>
          <w:bottom w:val="single" w:sz="18" w:space="6" w:color="1A365D"/>
        </w:pBdr>
      </w:pPr>
      <w:r>
        <w:rPr>
          <w:i/>
          <w:color w:val="2B6CB0"/>
          <w:sz w:val="26"/>
        </w:rPr>
        <w:t>Enterprise AI Safety &amp; Risk Monitoring Platform</w:t>
      </w:r>
    </w:p>
    <w:p>
      <w:pPr>
        <w:keepNext/>
        <w:spacing w:before="400" w:after="160"/>
        <w:pBdr>
          <w:bottom w:val="single" w:sz="8" w:space="6" w:color="2B6CB0"/>
        </w:pBdr>
      </w:pPr>
      <w:r>
        <w:rPr>
          <w:b/>
          <w:color w:val="1A365D"/>
          <w:sz w:val="30"/>
        </w:rPr>
        <w:t>1. Project Overview</w:t>
      </w:r>
    </w:p>
    <w:p>
      <w:pPr>
        <w:spacing w:after="160"/>
      </w:pPr>
      <w:r>
        <w:t>Guardian AI is an enterprise-grade digital safety and risk mitigation infrastructure built to safeguard transactional message routing ecosystems, endpoint environments, and cloud communication infrastructure. Leveraging asynchronous framework operations alongside modern deep learning heuristics, it delivers high-fidelity threat modeling dynamically.</w:t>
      </w:r>
    </w:p>
    <w:p>
      <w:pPr>
        <w:pStyle w:val="ListBullet"/>
        <w:spacing w:after="60"/>
      </w:pPr>
      <w:r>
        <w:t>AI Automated Moderation: Context-aware parsing across high-velocity streams.</w:t>
      </w:r>
    </w:p>
    <w:p>
      <w:pPr>
        <w:pStyle w:val="ListBullet"/>
        <w:spacing w:after="60"/>
      </w:pPr>
      <w:r>
        <w:t>Dynamic Risk Scoring Matrix: Multi-factor algorithms yielding explicit numeric vectors.</w:t>
      </w:r>
    </w:p>
    <w:p>
      <w:pPr>
        <w:pStyle w:val="ListBullet"/>
        <w:spacing w:after="60"/>
      </w:pPr>
      <w:r>
        <w:t>Automated Playbook Execution: Programmatic alert routing and conditional webhook triggers.</w:t>
      </w:r>
    </w:p>
    <w:p>
      <w:pPr>
        <w:pStyle w:val="ListBullet"/>
        <w:spacing w:after="60"/>
      </w:pPr>
      <w:r>
        <w:t>Threat Intelligence Networks: Proactive mapping of newly discovered exposure boundaries.</w:t>
      </w:r>
    </w:p>
    <w:p>
      <w:pPr>
        <w:pStyle w:val="ListBullet"/>
        <w:spacing w:after="60"/>
      </w:pPr>
      <w:r>
        <w:t>Device Environment Tracking: Attestation checks identifying application security health.</w:t>
      </w:r>
    </w:p>
    <w:p>
      <w:pPr>
        <w:pStyle w:val="ListBullet"/>
        <w:spacing w:after="60"/>
      </w:pPr>
      <w:r>
        <w:t>Multimodal Safety Pipelines: Synchronous structural asset parsing.</w:t>
      </w:r>
    </w:p>
    <w:p>
      <w:pPr>
        <w:pStyle w:val="ListBullet"/>
        <w:spacing w:after="60"/>
      </w:pPr>
      <w:r>
        <w:t>Emergency Escalation Thresholds: High-priority immediate alert cascades.</w:t>
      </w:r>
    </w:p>
    <w:p>
      <w:pPr>
        <w:pStyle w:val="ListBullet"/>
        <w:spacing w:after="60"/>
      </w:pPr>
      <w:r>
        <w:t>Executive Enterprise Analytics: Real-time telemetry exposed via structured analytics.</w:t>
      </w:r>
    </w:p>
    <w:p>
      <w:pPr>
        <w:spacing w:before="200" w:after="120"/>
      </w:pPr>
      <w:r>
        <w:t>Core Engineering Ecosystem Stack Setup:</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680"/>
        <w:gridCol w:w="4680"/>
      </w:tblGrid>
      <w:tr>
        <w:tc>
          <w:tcPr>
            <w:tcW w:type="dxa" w:w="2880"/>
            <w:shd w:val="clear" w:color="auto" w:fill="1A365D"/>
            <w:tcMar>
              <w:top w:w="120" w:type="dxa"/>
              <w:bottom w:w="120" w:type="dxa"/>
              <w:left w:w="150" w:type="dxa"/>
              <w:right w:w="150" w:type="dxa"/>
            </w:tcMar>
          </w:tcPr>
          <w:p>
            <w:r>
              <w:rPr>
                <w:b/>
                <w:color w:val="FFFFFF"/>
                <w:sz w:val="20"/>
              </w:rPr>
              <w:t>Technology Component</w:t>
            </w:r>
          </w:p>
        </w:tc>
        <w:tc>
          <w:tcPr>
            <w:tcW w:type="dxa" w:w="6480"/>
            <w:shd w:val="clear" w:color="auto" w:fill="1A365D"/>
            <w:tcMar>
              <w:top w:w="120" w:type="dxa"/>
              <w:bottom w:w="120" w:type="dxa"/>
              <w:left w:w="150" w:type="dxa"/>
              <w:right w:w="150" w:type="dxa"/>
            </w:tcMar>
          </w:tcPr>
          <w:p>
            <w:r>
              <w:rPr>
                <w:b/>
                <w:color w:val="FFFFFF"/>
                <w:sz w:val="20"/>
              </w:rPr>
              <w:t>Production Architectural Role</w:t>
            </w:r>
          </w:p>
        </w:tc>
      </w:tr>
      <w:tr>
        <w:tc>
          <w:tcPr>
            <w:tcW w:type="dxa" w:w="2880"/>
            <w:shd w:val="clear" w:color="auto" w:fill="FFFFFF"/>
            <w:tcMar>
              <w:top w:w="100" w:type="dxa"/>
              <w:bottom w:w="100" w:type="dxa"/>
              <w:left w:w="150" w:type="dxa"/>
              <w:right w:w="150" w:type="dxa"/>
            </w:tcMar>
          </w:tcPr>
          <w:p>
            <w:pPr>
              <w:spacing w:after="0"/>
            </w:pPr>
            <w:r>
              <w:rPr>
                <w:b/>
                <w:sz w:val="19"/>
              </w:rPr>
              <w:t>FastAPI</w:t>
            </w:r>
          </w:p>
        </w:tc>
        <w:tc>
          <w:tcPr>
            <w:tcW w:type="dxa" w:w="6480"/>
            <w:shd w:val="clear" w:color="auto" w:fill="FFFFFF"/>
            <w:tcMar>
              <w:top w:w="100" w:type="dxa"/>
              <w:bottom w:w="100" w:type="dxa"/>
              <w:left w:w="150" w:type="dxa"/>
              <w:right w:w="150" w:type="dxa"/>
            </w:tcMar>
          </w:tcPr>
          <w:p>
            <w:pPr>
              <w:spacing w:after="0"/>
            </w:pPr>
            <w:r>
              <w:rPr>
                <w:sz w:val="19"/>
              </w:rPr>
              <w:t>High-performance API foundation, asynchronous network operations, automated OpenAPI structure generation.</w:t>
            </w:r>
          </w:p>
        </w:tc>
      </w:tr>
      <w:tr>
        <w:tc>
          <w:tcPr>
            <w:tcW w:type="dxa" w:w="2880"/>
            <w:shd w:val="clear" w:color="auto" w:fill="EDF2F7"/>
            <w:tcMar>
              <w:top w:w="100" w:type="dxa"/>
              <w:bottom w:w="100" w:type="dxa"/>
              <w:left w:w="150" w:type="dxa"/>
              <w:right w:w="150" w:type="dxa"/>
            </w:tcMar>
          </w:tcPr>
          <w:p>
            <w:pPr>
              <w:spacing w:after="0"/>
            </w:pPr>
            <w:r>
              <w:rPr>
                <w:b/>
                <w:sz w:val="19"/>
              </w:rPr>
              <w:t>SQLAlchemy</w:t>
            </w:r>
          </w:p>
        </w:tc>
        <w:tc>
          <w:tcPr>
            <w:tcW w:type="dxa" w:w="6480"/>
            <w:shd w:val="clear" w:color="auto" w:fill="EDF2F7"/>
            <w:tcMar>
              <w:top w:w="100" w:type="dxa"/>
              <w:bottom w:w="100" w:type="dxa"/>
              <w:left w:w="150" w:type="dxa"/>
              <w:right w:w="150" w:type="dxa"/>
            </w:tcMar>
          </w:tcPr>
          <w:p>
            <w:pPr>
              <w:spacing w:after="0"/>
            </w:pPr>
            <w:r>
              <w:rPr>
                <w:sz w:val="19"/>
              </w:rPr>
              <w:t>Advanced Object-Relational Mapper (ORM) isolating query design logic from storage engine properties.</w:t>
            </w:r>
          </w:p>
        </w:tc>
      </w:tr>
      <w:tr>
        <w:tc>
          <w:tcPr>
            <w:tcW w:type="dxa" w:w="2880"/>
            <w:shd w:val="clear" w:color="auto" w:fill="FFFFFF"/>
            <w:tcMar>
              <w:top w:w="100" w:type="dxa"/>
              <w:bottom w:w="100" w:type="dxa"/>
              <w:left w:w="150" w:type="dxa"/>
              <w:right w:w="150" w:type="dxa"/>
            </w:tcMar>
          </w:tcPr>
          <w:p>
            <w:pPr>
              <w:spacing w:after="0"/>
            </w:pPr>
            <w:r>
              <w:rPr>
                <w:b/>
                <w:sz w:val="19"/>
              </w:rPr>
              <w:t>SQLite</w:t>
            </w:r>
          </w:p>
        </w:tc>
        <w:tc>
          <w:tcPr>
            <w:tcW w:type="dxa" w:w="6480"/>
            <w:shd w:val="clear" w:color="auto" w:fill="FFFFFF"/>
            <w:tcMar>
              <w:top w:w="100" w:type="dxa"/>
              <w:bottom w:w="100" w:type="dxa"/>
              <w:left w:w="150" w:type="dxa"/>
              <w:right w:w="150" w:type="dxa"/>
            </w:tcMar>
          </w:tcPr>
          <w:p>
            <w:pPr>
              <w:spacing w:after="0"/>
            </w:pPr>
            <w:r>
              <w:rPr>
                <w:sz w:val="19"/>
              </w:rPr>
              <w:t>Persistent relational ledger engine ideal for unified sandboxed database operations and local states.</w:t>
            </w:r>
          </w:p>
        </w:tc>
      </w:tr>
      <w:tr>
        <w:tc>
          <w:tcPr>
            <w:tcW w:type="dxa" w:w="2880"/>
            <w:shd w:val="clear" w:color="auto" w:fill="EDF2F7"/>
            <w:tcMar>
              <w:top w:w="100" w:type="dxa"/>
              <w:bottom w:w="100" w:type="dxa"/>
              <w:left w:w="150" w:type="dxa"/>
              <w:right w:w="150" w:type="dxa"/>
            </w:tcMar>
          </w:tcPr>
          <w:p>
            <w:pPr>
              <w:spacing w:after="0"/>
            </w:pPr>
            <w:r>
              <w:rPr>
                <w:b/>
                <w:sz w:val="19"/>
              </w:rPr>
              <w:t>JWT Core</w:t>
            </w:r>
          </w:p>
        </w:tc>
        <w:tc>
          <w:tcPr>
            <w:tcW w:type="dxa" w:w="6480"/>
            <w:shd w:val="clear" w:color="auto" w:fill="EDF2F7"/>
            <w:tcMar>
              <w:top w:w="100" w:type="dxa"/>
              <w:bottom w:w="100" w:type="dxa"/>
              <w:left w:w="150" w:type="dxa"/>
              <w:right w:w="150" w:type="dxa"/>
            </w:tcMar>
          </w:tcPr>
          <w:p>
            <w:pPr>
              <w:spacing w:after="0"/>
            </w:pPr>
            <w:r>
              <w:rPr>
                <w:sz w:val="19"/>
              </w:rPr>
              <w:t>Secure cryptographically signed claims enforcing high-integrity access tokens.</w:t>
            </w:r>
          </w:p>
        </w:tc>
      </w:tr>
      <w:tr>
        <w:tc>
          <w:tcPr>
            <w:tcW w:type="dxa" w:w="2880"/>
            <w:shd w:val="clear" w:color="auto" w:fill="FFFFFF"/>
            <w:tcMar>
              <w:top w:w="100" w:type="dxa"/>
              <w:bottom w:w="100" w:type="dxa"/>
              <w:left w:w="150" w:type="dxa"/>
              <w:right w:w="150" w:type="dxa"/>
            </w:tcMar>
          </w:tcPr>
          <w:p>
            <w:pPr>
              <w:spacing w:after="0"/>
            </w:pPr>
            <w:r>
              <w:rPr>
                <w:b/>
                <w:sz w:val="19"/>
              </w:rPr>
              <w:t>Python Engine</w:t>
            </w:r>
          </w:p>
        </w:tc>
        <w:tc>
          <w:tcPr>
            <w:tcW w:type="dxa" w:w="6480"/>
            <w:shd w:val="clear" w:color="auto" w:fill="FFFFFF"/>
            <w:tcMar>
              <w:top w:w="100" w:type="dxa"/>
              <w:bottom w:w="100" w:type="dxa"/>
              <w:left w:w="150" w:type="dxa"/>
              <w:right w:w="150" w:type="dxa"/>
            </w:tcMar>
          </w:tcPr>
          <w:p>
            <w:pPr>
              <w:spacing w:after="0"/>
            </w:pPr>
            <w:r>
              <w:rPr>
                <w:sz w:val="19"/>
              </w:rPr>
              <w:t>Pure runtime backend code executing model routing heuristics, policy blocks, and workflow steps.</w:t>
            </w:r>
          </w:p>
        </w:tc>
      </w:tr>
      <w:tr>
        <w:tc>
          <w:tcPr>
            <w:tcW w:type="dxa" w:w="2880"/>
            <w:shd w:val="clear" w:color="auto" w:fill="EDF2F7"/>
            <w:tcMar>
              <w:top w:w="100" w:type="dxa"/>
              <w:bottom w:w="100" w:type="dxa"/>
              <w:left w:w="150" w:type="dxa"/>
              <w:right w:w="150" w:type="dxa"/>
            </w:tcMar>
          </w:tcPr>
          <w:p>
            <w:pPr>
              <w:spacing w:after="0"/>
            </w:pPr>
            <w:r>
              <w:rPr>
                <w:b/>
                <w:sz w:val="19"/>
              </w:rPr>
              <w:t>Swagger UI</w:t>
            </w:r>
          </w:p>
        </w:tc>
        <w:tc>
          <w:tcPr>
            <w:tcW w:type="dxa" w:w="6480"/>
            <w:shd w:val="clear" w:color="auto" w:fill="EDF2F7"/>
            <w:tcMar>
              <w:top w:w="100" w:type="dxa"/>
              <w:bottom w:w="100" w:type="dxa"/>
              <w:left w:w="150" w:type="dxa"/>
              <w:right w:w="150" w:type="dxa"/>
            </w:tcMar>
          </w:tcPr>
          <w:p>
            <w:pPr>
              <w:spacing w:after="0"/>
            </w:pPr>
            <w:r>
              <w:rPr>
                <w:sz w:val="19"/>
              </w:rPr>
              <w:t>Interactive integrated platform dashboard facilitating real-time payload sandboxing.</w:t>
            </w:r>
          </w:p>
        </w:tc>
      </w:tr>
    </w:tbl>
    <w:p>
      <w:pPr>
        <w:keepNext/>
        <w:spacing w:before="400" w:after="160"/>
        <w:pBdr>
          <w:bottom w:val="single" w:sz="8" w:space="6" w:color="2B6CB0"/>
        </w:pBdr>
      </w:pPr>
      <w:r>
        <w:rPr>
          <w:b/>
          <w:color w:val="1A365D"/>
          <w:sz w:val="30"/>
        </w:rPr>
        <w:t>2. Backend Architecture</w:t>
      </w:r>
    </w:p>
    <w:p>
      <w:pPr>
        <w:spacing w:after="120"/>
      </w:pPr>
      <w:r>
        <w:t>The server framework leverages a standard separation-of-concerns pattern, isolating declarative domain data maps, synchronous API routing layers, and background business rules orchestration layers.</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guardian-ai/</w:t>
              <w:br/>
              <w:t>│</w:t>
              <w:br/>
              <w:t>├── app/</w:t>
              <w:br/>
              <w:t>│   ├── ai/          # Deep learning abstractions &amp; model evaluations</w:t>
              <w:br/>
              <w:t>│   ├── models/      # Declarative schema classes definition (SQLAlchemy)</w:t>
              <w:br/>
              <w:t>│   ├── routes/      # Asynchronous service endpoint network controllers</w:t>
              <w:br/>
              <w:t>│   ├── services/    # Pure domain business rules logic processing handlers</w:t>
              <w:br/>
              <w:t>│   ├── auth.py      # Token generation, password encryption &amp; validation mechanics</w:t>
              <w:br/>
              <w:t>│   ├── config.py    # Environment specification profiles &amp; parameter configurations</w:t>
              <w:br/>
              <w:t>│   ├── database.py  # Session pooling configs and persistent lifecycle contexts</w:t>
              <w:br/>
              <w:t>│   └── main.py      # App bootstrap, routing configuration, &amp; initialization hooks</w:t>
              <w:br/>
              <w:t>│</w:t>
              <w:br/>
              <w:t>├── guardian_ai.db   # Local persistent database state storage instance</w:t>
              <w:br/>
              <w:t>├── requirements.txt # Explicit pinned dependencies directory file manifest</w:t>
              <w:br/>
              <w:t>└── README.md        # Technical execution and launch operations guide</w:t>
            </w:r>
          </w:p>
        </w:tc>
      </w:tr>
    </w:tbl>
    <w:p>
      <w:pPr>
        <w:keepNext/>
        <w:spacing w:before="400" w:after="160"/>
        <w:pBdr>
          <w:bottom w:val="single" w:sz="8" w:space="6" w:color="2B6CB0"/>
        </w:pBdr>
      </w:pPr>
      <w:r>
        <w:rPr>
          <w:b/>
          <w:color w:val="1A365D"/>
          <w:sz w:val="30"/>
        </w:rPr>
        <w:t>3. Core Enterprise Modules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c>
          <w:tcPr>
            <w:tcW w:type="dxa" w:w="2592"/>
            <w:shd w:val="clear" w:color="auto" w:fill="1A365D"/>
            <w:tcMar>
              <w:top w:w="120" w:type="dxa"/>
              <w:bottom w:w="120" w:type="dxa"/>
              <w:left w:w="150" w:type="dxa"/>
              <w:right w:w="150" w:type="dxa"/>
            </w:tcMar>
          </w:tcPr>
          <w:p>
            <w:r>
              <w:rPr>
                <w:b/>
                <w:color w:val="FFFFFF"/>
                <w:sz w:val="20"/>
              </w:rPr>
              <w:t>Enterprise Module</w:t>
            </w:r>
          </w:p>
        </w:tc>
        <w:tc>
          <w:tcPr>
            <w:tcW w:type="dxa" w:w="5040"/>
            <w:shd w:val="clear" w:color="auto" w:fill="1A365D"/>
            <w:tcMar>
              <w:top w:w="120" w:type="dxa"/>
              <w:bottom w:w="120" w:type="dxa"/>
              <w:left w:w="150" w:type="dxa"/>
              <w:right w:w="150" w:type="dxa"/>
            </w:tcMar>
          </w:tcPr>
          <w:p>
            <w:r>
              <w:rPr>
                <w:b/>
                <w:color w:val="FFFFFF"/>
                <w:sz w:val="20"/>
              </w:rPr>
              <w:t>Functional Description</w:t>
            </w:r>
          </w:p>
        </w:tc>
        <w:tc>
          <w:tcPr>
            <w:tcW w:type="dxa" w:w="1728"/>
            <w:shd w:val="clear" w:color="auto" w:fill="1A365D"/>
            <w:tcMar>
              <w:top w:w="120" w:type="dxa"/>
              <w:bottom w:w="120" w:type="dxa"/>
              <w:left w:w="150" w:type="dxa"/>
              <w:right w:w="150" w:type="dxa"/>
            </w:tcMar>
          </w:tcPr>
          <w:p>
            <w:r>
              <w:rPr>
                <w:b/>
                <w:color w:val="FFFFFF"/>
                <w:sz w:val="20"/>
              </w:rPr>
              <w:t>Status</w:t>
            </w:r>
          </w:p>
        </w:tc>
      </w:tr>
      <w:tr>
        <w:tc>
          <w:tcPr>
            <w:tcW w:type="dxa" w:w="2592"/>
            <w:shd w:val="clear" w:color="auto" w:fill="FFFFFF"/>
            <w:tcMar>
              <w:top w:w="100" w:type="dxa"/>
              <w:bottom w:w="100" w:type="dxa"/>
              <w:left w:w="150" w:type="dxa"/>
              <w:right w:w="150" w:type="dxa"/>
            </w:tcMar>
          </w:tcPr>
          <w:p>
            <w:pPr>
              <w:spacing w:after="0"/>
            </w:pPr>
            <w:r>
              <w:rPr>
                <w:b/>
                <w:sz w:val="19"/>
              </w:rPr>
              <w:t>Authentication System</w:t>
            </w:r>
          </w:p>
        </w:tc>
        <w:tc>
          <w:tcPr>
            <w:tcW w:type="dxa" w:w="5040"/>
            <w:shd w:val="clear" w:color="auto" w:fill="FFFFFF"/>
            <w:tcMar>
              <w:top w:w="100" w:type="dxa"/>
              <w:bottom w:w="100" w:type="dxa"/>
              <w:left w:w="150" w:type="dxa"/>
              <w:right w:w="150" w:type="dxa"/>
            </w:tcMar>
          </w:tcPr>
          <w:p>
            <w:pPr>
              <w:spacing w:after="0"/>
            </w:pPr>
            <w:r>
              <w:rPr>
                <w:sz w:val="19"/>
              </w:rPr>
              <w:t>JWT token generation framework supporting secure onboarding rules.</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Policy Engine</w:t>
            </w:r>
          </w:p>
        </w:tc>
        <w:tc>
          <w:tcPr>
            <w:tcW w:type="dxa" w:w="5040"/>
            <w:shd w:val="clear" w:color="auto" w:fill="EDF2F7"/>
            <w:tcMar>
              <w:top w:w="100" w:type="dxa"/>
              <w:bottom w:w="100" w:type="dxa"/>
              <w:left w:w="150" w:type="dxa"/>
              <w:right w:w="150" w:type="dxa"/>
            </w:tcMar>
          </w:tcPr>
          <w:p>
            <w:pPr>
              <w:spacing w:after="0"/>
            </w:pPr>
            <w:r>
              <w:rPr>
                <w:sz w:val="19"/>
              </w:rPr>
              <w:t>Manages runtime configurations for context validation boundaries.</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FFFFFF"/>
            <w:tcMar>
              <w:top w:w="100" w:type="dxa"/>
              <w:bottom w:w="100" w:type="dxa"/>
              <w:left w:w="150" w:type="dxa"/>
              <w:right w:w="150" w:type="dxa"/>
            </w:tcMar>
          </w:tcPr>
          <w:p>
            <w:pPr>
              <w:spacing w:after="0"/>
            </w:pPr>
            <w:r>
              <w:rPr>
                <w:b/>
                <w:sz w:val="19"/>
              </w:rPr>
              <w:t>AI Risk Engine</w:t>
            </w:r>
          </w:p>
        </w:tc>
        <w:tc>
          <w:tcPr>
            <w:tcW w:type="dxa" w:w="5040"/>
            <w:shd w:val="clear" w:color="auto" w:fill="FFFFFF"/>
            <w:tcMar>
              <w:top w:w="100" w:type="dxa"/>
              <w:bottom w:w="100" w:type="dxa"/>
              <w:left w:w="150" w:type="dxa"/>
              <w:right w:w="150" w:type="dxa"/>
            </w:tcMar>
          </w:tcPr>
          <w:p>
            <w:pPr>
              <w:spacing w:after="0"/>
            </w:pPr>
            <w:r>
              <w:rPr>
                <w:sz w:val="19"/>
              </w:rPr>
              <w:t>Inlines text feature analyzers to extract dynamic numeric severity values.</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Workflow Engine</w:t>
            </w:r>
          </w:p>
        </w:tc>
        <w:tc>
          <w:tcPr>
            <w:tcW w:type="dxa" w:w="5040"/>
            <w:shd w:val="clear" w:color="auto" w:fill="EDF2F7"/>
            <w:tcMar>
              <w:top w:w="100" w:type="dxa"/>
              <w:bottom w:w="100" w:type="dxa"/>
              <w:left w:w="150" w:type="dxa"/>
              <w:right w:w="150" w:type="dxa"/>
            </w:tcMar>
          </w:tcPr>
          <w:p>
            <w:pPr>
              <w:spacing w:after="0"/>
            </w:pPr>
            <w:r>
              <w:rPr>
                <w:sz w:val="19"/>
              </w:rPr>
              <w:t>Orchestrates microservice workflows and rule evaluation actions.</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FFFFFF"/>
            <w:tcMar>
              <w:top w:w="100" w:type="dxa"/>
              <w:bottom w:w="100" w:type="dxa"/>
              <w:left w:w="150" w:type="dxa"/>
              <w:right w:w="150" w:type="dxa"/>
            </w:tcMar>
          </w:tcPr>
          <w:p>
            <w:pPr>
              <w:spacing w:after="0"/>
            </w:pPr>
            <w:r>
              <w:rPr>
                <w:b/>
                <w:sz w:val="19"/>
              </w:rPr>
              <w:t>Enforcement Engine</w:t>
            </w:r>
          </w:p>
        </w:tc>
        <w:tc>
          <w:tcPr>
            <w:tcW w:type="dxa" w:w="5040"/>
            <w:shd w:val="clear" w:color="auto" w:fill="FFFFFF"/>
            <w:tcMar>
              <w:top w:w="100" w:type="dxa"/>
              <w:bottom w:w="100" w:type="dxa"/>
              <w:left w:w="150" w:type="dxa"/>
              <w:right w:w="150" w:type="dxa"/>
            </w:tcMar>
          </w:tcPr>
          <w:p>
            <w:pPr>
              <w:spacing w:after="0"/>
            </w:pPr>
            <w:r>
              <w:rPr>
                <w:sz w:val="19"/>
              </w:rPr>
              <w:t>Executes low-latency containment procedures for high-risk flags.</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Alerts System</w:t>
            </w:r>
          </w:p>
        </w:tc>
        <w:tc>
          <w:tcPr>
            <w:tcW w:type="dxa" w:w="5040"/>
            <w:shd w:val="clear" w:color="auto" w:fill="EDF2F7"/>
            <w:tcMar>
              <w:top w:w="100" w:type="dxa"/>
              <w:bottom w:w="100" w:type="dxa"/>
              <w:left w:w="150" w:type="dxa"/>
              <w:right w:w="150" w:type="dxa"/>
            </w:tcMar>
          </w:tcPr>
          <w:p>
            <w:pPr>
              <w:spacing w:after="0"/>
            </w:pPr>
            <w:r>
              <w:rPr>
                <w:sz w:val="19"/>
              </w:rPr>
              <w:t>Dispatches transactional event records and notifications streams.</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FFFFFF"/>
            <w:tcMar>
              <w:top w:w="100" w:type="dxa"/>
              <w:bottom w:w="100" w:type="dxa"/>
              <w:left w:w="150" w:type="dxa"/>
              <w:right w:w="150" w:type="dxa"/>
            </w:tcMar>
          </w:tcPr>
          <w:p>
            <w:pPr>
              <w:spacing w:after="0"/>
            </w:pPr>
            <w:r>
              <w:rPr>
                <w:b/>
                <w:sz w:val="19"/>
              </w:rPr>
              <w:t>Audit Logs</w:t>
            </w:r>
          </w:p>
        </w:tc>
        <w:tc>
          <w:tcPr>
            <w:tcW w:type="dxa" w:w="5040"/>
            <w:shd w:val="clear" w:color="auto" w:fill="FFFFFF"/>
            <w:tcMar>
              <w:top w:w="100" w:type="dxa"/>
              <w:bottom w:w="100" w:type="dxa"/>
              <w:left w:w="150" w:type="dxa"/>
              <w:right w:w="150" w:type="dxa"/>
            </w:tcMar>
          </w:tcPr>
          <w:p>
            <w:pPr>
              <w:spacing w:after="0"/>
            </w:pPr>
            <w:r>
              <w:rPr>
                <w:sz w:val="19"/>
              </w:rPr>
              <w:t>Saves immutable historical intervention actions for compliance audits.</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Dashboard Analytics</w:t>
            </w:r>
          </w:p>
        </w:tc>
        <w:tc>
          <w:tcPr>
            <w:tcW w:type="dxa" w:w="5040"/>
            <w:shd w:val="clear" w:color="auto" w:fill="EDF2F7"/>
            <w:tcMar>
              <w:top w:w="100" w:type="dxa"/>
              <w:bottom w:w="100" w:type="dxa"/>
              <w:left w:w="150" w:type="dxa"/>
              <w:right w:w="150" w:type="dxa"/>
            </w:tcMar>
          </w:tcPr>
          <w:p>
            <w:pPr>
              <w:spacing w:after="0"/>
            </w:pPr>
            <w:r>
              <w:rPr>
                <w:sz w:val="19"/>
              </w:rPr>
              <w:t>Exposes high-speed query summaries for chart visualizations.</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FFFFFF"/>
            <w:tcMar>
              <w:top w:w="100" w:type="dxa"/>
              <w:bottom w:w="100" w:type="dxa"/>
              <w:left w:w="150" w:type="dxa"/>
              <w:right w:w="150" w:type="dxa"/>
            </w:tcMar>
          </w:tcPr>
          <w:p>
            <w:pPr>
              <w:spacing w:after="0"/>
            </w:pPr>
            <w:r>
              <w:rPr>
                <w:b/>
                <w:sz w:val="19"/>
              </w:rPr>
              <w:t>Device Intelligence</w:t>
            </w:r>
          </w:p>
        </w:tc>
        <w:tc>
          <w:tcPr>
            <w:tcW w:type="dxa" w:w="5040"/>
            <w:shd w:val="clear" w:color="auto" w:fill="FFFFFF"/>
            <w:tcMar>
              <w:top w:w="100" w:type="dxa"/>
              <w:bottom w:w="100" w:type="dxa"/>
              <w:left w:w="150" w:type="dxa"/>
              <w:right w:w="150" w:type="dxa"/>
            </w:tcMar>
          </w:tcPr>
          <w:p>
            <w:pPr>
              <w:spacing w:after="0"/>
            </w:pPr>
            <w:r>
              <w:rPr>
                <w:sz w:val="19"/>
              </w:rPr>
              <w:t>Assesses client environment configuration parameters for system validation.</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Multimodal AI Engine</w:t>
            </w:r>
          </w:p>
        </w:tc>
        <w:tc>
          <w:tcPr>
            <w:tcW w:type="dxa" w:w="5040"/>
            <w:shd w:val="clear" w:color="auto" w:fill="EDF2F7"/>
            <w:tcMar>
              <w:top w:w="100" w:type="dxa"/>
              <w:bottom w:w="100" w:type="dxa"/>
              <w:left w:w="150" w:type="dxa"/>
              <w:right w:w="150" w:type="dxa"/>
            </w:tcMar>
          </w:tcPr>
          <w:p>
            <w:pPr>
              <w:spacing w:after="0"/>
            </w:pPr>
            <w:r>
              <w:rPr>
                <w:sz w:val="19"/>
              </w:rPr>
              <w:t>Inspects structured binary file components and media streams.</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FFFFFF"/>
            <w:tcMar>
              <w:top w:w="100" w:type="dxa"/>
              <w:bottom w:w="100" w:type="dxa"/>
              <w:left w:w="150" w:type="dxa"/>
              <w:right w:w="150" w:type="dxa"/>
            </w:tcMar>
          </w:tcPr>
          <w:p>
            <w:pPr>
              <w:spacing w:after="0"/>
            </w:pPr>
            <w:r>
              <w:rPr>
                <w:b/>
                <w:sz w:val="19"/>
              </w:rPr>
              <w:t>Repeat Offender Detection</w:t>
            </w:r>
          </w:p>
        </w:tc>
        <w:tc>
          <w:tcPr>
            <w:tcW w:type="dxa" w:w="5040"/>
            <w:shd w:val="clear" w:color="auto" w:fill="FFFFFF"/>
            <w:tcMar>
              <w:top w:w="100" w:type="dxa"/>
              <w:bottom w:w="100" w:type="dxa"/>
              <w:left w:w="150" w:type="dxa"/>
              <w:right w:w="150" w:type="dxa"/>
            </w:tcMar>
          </w:tcPr>
          <w:p>
            <w:pPr>
              <w:spacing w:after="0"/>
            </w:pPr>
            <w:r>
              <w:rPr>
                <w:sz w:val="19"/>
              </w:rPr>
              <w:t>Traces cross-session actor profiles via systemic user state mapping.</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Emergency Escalation Engine</w:t>
            </w:r>
          </w:p>
        </w:tc>
        <w:tc>
          <w:tcPr>
            <w:tcW w:type="dxa" w:w="5040"/>
            <w:shd w:val="clear" w:color="auto" w:fill="EDF2F7"/>
            <w:tcMar>
              <w:top w:w="100" w:type="dxa"/>
              <w:bottom w:w="100" w:type="dxa"/>
              <w:left w:w="150" w:type="dxa"/>
              <w:right w:w="150" w:type="dxa"/>
            </w:tcMar>
          </w:tcPr>
          <w:p>
            <w:pPr>
              <w:spacing w:after="0"/>
            </w:pPr>
            <w:r>
              <w:rPr>
                <w:sz w:val="19"/>
              </w:rPr>
              <w:t>Implements zero-delay bypass channels for critical safety hazards.</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FFFFFF"/>
            <w:tcMar>
              <w:top w:w="100" w:type="dxa"/>
              <w:bottom w:w="100" w:type="dxa"/>
              <w:left w:w="150" w:type="dxa"/>
              <w:right w:w="150" w:type="dxa"/>
            </w:tcMar>
          </w:tcPr>
          <w:p>
            <w:pPr>
              <w:spacing w:after="0"/>
            </w:pPr>
            <w:r>
              <w:rPr>
                <w:b/>
                <w:sz w:val="19"/>
              </w:rPr>
              <w:t>Weekly Safety Reports</w:t>
            </w:r>
          </w:p>
        </w:tc>
        <w:tc>
          <w:tcPr>
            <w:tcW w:type="dxa" w:w="5040"/>
            <w:shd w:val="clear" w:color="auto" w:fill="FFFFFF"/>
            <w:tcMar>
              <w:top w:w="100" w:type="dxa"/>
              <w:bottom w:w="100" w:type="dxa"/>
              <w:left w:w="150" w:type="dxa"/>
              <w:right w:w="150" w:type="dxa"/>
            </w:tcMar>
          </w:tcPr>
          <w:p>
            <w:pPr>
              <w:spacing w:after="0"/>
            </w:pPr>
            <w:r>
              <w:rPr>
                <w:sz w:val="19"/>
              </w:rPr>
              <w:t>Aggregates transactional histories into structured reporting summaries.</w:t>
            </w:r>
          </w:p>
        </w:tc>
        <w:tc>
          <w:tcPr>
            <w:tcW w:type="dxa" w:w="1728"/>
            <w:shd w:val="clear" w:color="auto" w:fill="FFFFFF"/>
            <w:tcMar>
              <w:top w:w="100" w:type="dxa"/>
              <w:bottom w:w="100" w:type="dxa"/>
              <w:left w:w="150" w:type="dxa"/>
              <w:right w:w="150" w:type="dxa"/>
            </w:tcMar>
          </w:tcPr>
          <w:p>
            <w:pPr>
              <w:spacing w:after="0"/>
            </w:pPr>
            <w:r>
              <w:rPr>
                <w:b/>
                <w:color w:val="2F855A"/>
                <w:sz w:val="19"/>
              </w:rPr>
              <w:t>Production Ready</w:t>
            </w:r>
          </w:p>
        </w:tc>
      </w:tr>
      <w:tr>
        <w:tc>
          <w:tcPr>
            <w:tcW w:type="dxa" w:w="2592"/>
            <w:shd w:val="clear" w:color="auto" w:fill="EDF2F7"/>
            <w:tcMar>
              <w:top w:w="100" w:type="dxa"/>
              <w:bottom w:w="100" w:type="dxa"/>
              <w:left w:w="150" w:type="dxa"/>
              <w:right w:w="150" w:type="dxa"/>
            </w:tcMar>
          </w:tcPr>
          <w:p>
            <w:pPr>
              <w:spacing w:after="0"/>
            </w:pPr>
            <w:r>
              <w:rPr>
                <w:b/>
                <w:sz w:val="19"/>
              </w:rPr>
              <w:t>AI Model Analytics</w:t>
            </w:r>
          </w:p>
        </w:tc>
        <w:tc>
          <w:tcPr>
            <w:tcW w:type="dxa" w:w="5040"/>
            <w:shd w:val="clear" w:color="auto" w:fill="EDF2F7"/>
            <w:tcMar>
              <w:top w:w="100" w:type="dxa"/>
              <w:bottom w:w="100" w:type="dxa"/>
              <w:left w:w="150" w:type="dxa"/>
              <w:right w:w="150" w:type="dxa"/>
            </w:tcMar>
          </w:tcPr>
          <w:p>
            <w:pPr>
              <w:spacing w:after="0"/>
            </w:pPr>
            <w:r>
              <w:rPr>
                <w:sz w:val="19"/>
              </w:rPr>
              <w:t>Tracks active parsing accuracy ratios, confidence bounds, and data drift.</w:t>
            </w:r>
          </w:p>
        </w:tc>
        <w:tc>
          <w:tcPr>
            <w:tcW w:type="dxa" w:w="1728"/>
            <w:shd w:val="clear" w:color="auto" w:fill="EDF2F7"/>
            <w:tcMar>
              <w:top w:w="100" w:type="dxa"/>
              <w:bottom w:w="100" w:type="dxa"/>
              <w:left w:w="150" w:type="dxa"/>
              <w:right w:w="150" w:type="dxa"/>
            </w:tcMar>
          </w:tcPr>
          <w:p>
            <w:pPr>
              <w:spacing w:after="0"/>
            </w:pPr>
            <w:r>
              <w:rPr>
                <w:b/>
                <w:color w:val="2F855A"/>
                <w:sz w:val="19"/>
              </w:rPr>
              <w:t>Production Ready</w:t>
            </w:r>
          </w:p>
        </w:tc>
      </w:tr>
    </w:tbl>
    <w:p>
      <w:pPr>
        <w:keepNext/>
        <w:spacing w:before="400" w:after="160"/>
        <w:pBdr>
          <w:bottom w:val="single" w:sz="8" w:space="6" w:color="2B6CB0"/>
        </w:pBdr>
      </w:pPr>
      <w:r>
        <w:rPr>
          <w:b/>
          <w:color w:val="1A365D"/>
          <w:sz w:val="30"/>
        </w:rPr>
        <w:t>4. Database Schema Structure</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680"/>
        <w:gridCol w:w="4680"/>
      </w:tblGrid>
      <w:tr>
        <w:tc>
          <w:tcPr>
            <w:tcW w:type="dxa" w:w="2592"/>
            <w:shd w:val="clear" w:color="auto" w:fill="1A365D"/>
            <w:tcMar>
              <w:top w:w="120" w:type="dxa"/>
              <w:bottom w:w="120" w:type="dxa"/>
              <w:left w:w="150" w:type="dxa"/>
              <w:right w:w="150" w:type="dxa"/>
            </w:tcMar>
          </w:tcPr>
          <w:p>
            <w:r>
              <w:rPr>
                <w:b/>
                <w:color w:val="FFFFFF"/>
                <w:sz w:val="20"/>
              </w:rPr>
              <w:t>Target Table</w:t>
            </w:r>
          </w:p>
        </w:tc>
        <w:tc>
          <w:tcPr>
            <w:tcW w:type="dxa" w:w="6768"/>
            <w:shd w:val="clear" w:color="auto" w:fill="1A365D"/>
            <w:tcMar>
              <w:top w:w="120" w:type="dxa"/>
              <w:bottom w:w="120" w:type="dxa"/>
              <w:left w:w="150" w:type="dxa"/>
              <w:right w:w="150" w:type="dxa"/>
            </w:tcMar>
          </w:tcPr>
          <w:p>
            <w:r>
              <w:rPr>
                <w:b/>
                <w:color w:val="FFFFFF"/>
                <w:sz w:val="20"/>
              </w:rPr>
              <w:t>Schema Role &amp; Relational Definition</w:t>
            </w:r>
          </w:p>
        </w:tc>
      </w:tr>
      <w:tr>
        <w:tc>
          <w:tcPr>
            <w:tcW w:type="dxa" w:w="2592"/>
            <w:shd w:val="clear" w:color="auto" w:fill="FFFFFF"/>
            <w:tcMar>
              <w:top w:w="100" w:type="dxa"/>
              <w:bottom w:w="100" w:type="dxa"/>
              <w:left w:w="150" w:type="dxa"/>
              <w:right w:w="150" w:type="dxa"/>
            </w:tcMar>
          </w:tcPr>
          <w:p>
            <w:pPr>
              <w:spacing w:after="0"/>
            </w:pPr>
            <w:r>
              <w:rPr>
                <w:rFonts w:ascii="Consolas" w:hAnsi="Consolas"/>
                <w:b/>
                <w:sz w:val="19"/>
              </w:rPr>
              <w:t>users</w:t>
            </w:r>
          </w:p>
        </w:tc>
        <w:tc>
          <w:tcPr>
            <w:tcW w:type="dxa" w:w="6768"/>
            <w:shd w:val="clear" w:color="auto" w:fill="FFFFFF"/>
            <w:tcMar>
              <w:top w:w="100" w:type="dxa"/>
              <w:bottom w:w="100" w:type="dxa"/>
              <w:left w:w="150" w:type="dxa"/>
              <w:right w:w="150" w:type="dxa"/>
            </w:tcMar>
          </w:tcPr>
          <w:p>
            <w:pPr>
              <w:spacing w:after="0"/>
            </w:pPr>
            <w:r>
              <w:rPr>
                <w:sz w:val="19"/>
              </w:rPr>
              <w:t>Stores registration credentials, authorization claims, security profiles, and client RBAC permissions.</w:t>
            </w:r>
          </w:p>
        </w:tc>
      </w:tr>
      <w:tr>
        <w:tc>
          <w:tcPr>
            <w:tcW w:type="dxa" w:w="2592"/>
            <w:shd w:val="clear" w:color="auto" w:fill="EDF2F7"/>
            <w:tcMar>
              <w:top w:w="100" w:type="dxa"/>
              <w:bottom w:w="100" w:type="dxa"/>
              <w:left w:w="150" w:type="dxa"/>
              <w:right w:w="150" w:type="dxa"/>
            </w:tcMar>
          </w:tcPr>
          <w:p>
            <w:pPr>
              <w:spacing w:after="0"/>
            </w:pPr>
            <w:r>
              <w:rPr>
                <w:rFonts w:ascii="Consolas" w:hAnsi="Consolas"/>
                <w:b/>
                <w:sz w:val="19"/>
              </w:rPr>
              <w:t>policies</w:t>
            </w:r>
          </w:p>
        </w:tc>
        <w:tc>
          <w:tcPr>
            <w:tcW w:type="dxa" w:w="6768"/>
            <w:shd w:val="clear" w:color="auto" w:fill="EDF2F7"/>
            <w:tcMar>
              <w:top w:w="100" w:type="dxa"/>
              <w:bottom w:w="100" w:type="dxa"/>
              <w:left w:w="150" w:type="dxa"/>
              <w:right w:w="150" w:type="dxa"/>
            </w:tcMar>
          </w:tcPr>
          <w:p>
            <w:pPr>
              <w:spacing w:after="0"/>
            </w:pPr>
            <w:r>
              <w:rPr>
                <w:sz w:val="19"/>
              </w:rPr>
              <w:t>Maintains baseline threshold metrics, domain constraints, and runtime policy rules configurations.</w:t>
            </w:r>
          </w:p>
        </w:tc>
      </w:tr>
      <w:tr>
        <w:tc>
          <w:tcPr>
            <w:tcW w:type="dxa" w:w="2592"/>
            <w:shd w:val="clear" w:color="auto" w:fill="FFFFFF"/>
            <w:tcMar>
              <w:top w:w="100" w:type="dxa"/>
              <w:bottom w:w="100" w:type="dxa"/>
              <w:left w:w="150" w:type="dxa"/>
              <w:right w:w="150" w:type="dxa"/>
            </w:tcMar>
          </w:tcPr>
          <w:p>
            <w:pPr>
              <w:spacing w:after="0"/>
            </w:pPr>
            <w:r>
              <w:rPr>
                <w:rFonts w:ascii="Consolas" w:hAnsi="Consolas"/>
                <w:b/>
                <w:sz w:val="19"/>
              </w:rPr>
              <w:t>alerts</w:t>
            </w:r>
          </w:p>
        </w:tc>
        <w:tc>
          <w:tcPr>
            <w:tcW w:type="dxa" w:w="6768"/>
            <w:shd w:val="clear" w:color="auto" w:fill="FFFFFF"/>
            <w:tcMar>
              <w:top w:w="100" w:type="dxa"/>
              <w:bottom w:w="100" w:type="dxa"/>
              <w:left w:w="150" w:type="dxa"/>
              <w:right w:w="150" w:type="dxa"/>
            </w:tcMar>
          </w:tcPr>
          <w:p>
            <w:pPr>
              <w:spacing w:after="0"/>
            </w:pPr>
            <w:r>
              <w:rPr>
                <w:sz w:val="19"/>
              </w:rPr>
              <w:t>Houses structured high-integrity individual risk events and associated execution tags.</w:t>
            </w:r>
          </w:p>
        </w:tc>
      </w:tr>
      <w:tr>
        <w:tc>
          <w:tcPr>
            <w:tcW w:type="dxa" w:w="2592"/>
            <w:shd w:val="clear" w:color="auto" w:fill="EDF2F7"/>
            <w:tcMar>
              <w:top w:w="100" w:type="dxa"/>
              <w:bottom w:w="100" w:type="dxa"/>
              <w:left w:w="150" w:type="dxa"/>
              <w:right w:w="150" w:type="dxa"/>
            </w:tcMar>
          </w:tcPr>
          <w:p>
            <w:pPr>
              <w:spacing w:after="0"/>
            </w:pPr>
            <w:r>
              <w:rPr>
                <w:rFonts w:ascii="Consolas" w:hAnsi="Consolas"/>
                <w:b/>
                <w:sz w:val="19"/>
              </w:rPr>
              <w:t>audit_logs</w:t>
            </w:r>
          </w:p>
        </w:tc>
        <w:tc>
          <w:tcPr>
            <w:tcW w:type="dxa" w:w="6768"/>
            <w:shd w:val="clear" w:color="auto" w:fill="EDF2F7"/>
            <w:tcMar>
              <w:top w:w="100" w:type="dxa"/>
              <w:bottom w:w="100" w:type="dxa"/>
              <w:left w:w="150" w:type="dxa"/>
              <w:right w:w="150" w:type="dxa"/>
            </w:tcMar>
          </w:tcPr>
          <w:p>
            <w:pPr>
              <w:spacing w:after="0"/>
            </w:pPr>
            <w:r>
              <w:rPr>
                <w:sz w:val="19"/>
              </w:rPr>
              <w:t>Immutable analytical log archiving explicit manual override and workflow system executions.</w:t>
            </w:r>
          </w:p>
        </w:tc>
      </w:tr>
      <w:tr>
        <w:tc>
          <w:tcPr>
            <w:tcW w:type="dxa" w:w="2592"/>
            <w:shd w:val="clear" w:color="auto" w:fill="FFFFFF"/>
            <w:tcMar>
              <w:top w:w="100" w:type="dxa"/>
              <w:bottom w:w="100" w:type="dxa"/>
              <w:left w:w="150" w:type="dxa"/>
              <w:right w:w="150" w:type="dxa"/>
            </w:tcMar>
          </w:tcPr>
          <w:p>
            <w:pPr>
              <w:spacing w:after="0"/>
            </w:pPr>
            <w:r>
              <w:rPr>
                <w:rFonts w:ascii="Consolas" w:hAnsi="Consolas"/>
                <w:b/>
                <w:sz w:val="19"/>
              </w:rPr>
              <w:t>devices</w:t>
            </w:r>
          </w:p>
        </w:tc>
        <w:tc>
          <w:tcPr>
            <w:tcW w:type="dxa" w:w="6768"/>
            <w:shd w:val="clear" w:color="auto" w:fill="FFFFFF"/>
            <w:tcMar>
              <w:top w:w="100" w:type="dxa"/>
              <w:bottom w:w="100" w:type="dxa"/>
              <w:left w:w="150" w:type="dxa"/>
              <w:right w:w="150" w:type="dxa"/>
            </w:tcMar>
          </w:tcPr>
          <w:p>
            <w:pPr>
              <w:spacing w:after="0"/>
            </w:pPr>
            <w:r>
              <w:rPr>
                <w:sz w:val="19"/>
              </w:rPr>
              <w:t>Registers tracking profiles, client environmental parameters, and continuous device safety records.</w:t>
            </w:r>
          </w:p>
        </w:tc>
      </w:tr>
      <w:tr>
        <w:tc>
          <w:tcPr>
            <w:tcW w:type="dxa" w:w="2592"/>
            <w:shd w:val="clear" w:color="auto" w:fill="EDF2F7"/>
            <w:tcMar>
              <w:top w:w="100" w:type="dxa"/>
              <w:bottom w:w="100" w:type="dxa"/>
              <w:left w:w="150" w:type="dxa"/>
              <w:right w:w="150" w:type="dxa"/>
            </w:tcMar>
          </w:tcPr>
          <w:p>
            <w:pPr>
              <w:spacing w:after="0"/>
            </w:pPr>
            <w:r>
              <w:rPr>
                <w:rFonts w:ascii="Consolas" w:hAnsi="Consolas"/>
                <w:b/>
                <w:sz w:val="19"/>
              </w:rPr>
              <w:t>workflows</w:t>
            </w:r>
          </w:p>
        </w:tc>
        <w:tc>
          <w:tcPr>
            <w:tcW w:type="dxa" w:w="6768"/>
            <w:shd w:val="clear" w:color="auto" w:fill="EDF2F7"/>
            <w:tcMar>
              <w:top w:w="100" w:type="dxa"/>
              <w:bottom w:w="100" w:type="dxa"/>
              <w:left w:w="150" w:type="dxa"/>
              <w:right w:w="150" w:type="dxa"/>
            </w:tcMar>
          </w:tcPr>
          <w:p>
            <w:pPr>
              <w:spacing w:after="0"/>
            </w:pPr>
            <w:r>
              <w:rPr>
                <w:sz w:val="19"/>
              </w:rPr>
              <w:t>Binds operational rule matrices to systematic, multi-stage remediation playbooks.</w:t>
            </w:r>
          </w:p>
        </w:tc>
      </w:tr>
    </w:tbl>
    <w:p>
      <w:pPr>
        <w:keepNext/>
        <w:spacing w:before="400" w:after="160"/>
        <w:pBdr>
          <w:bottom w:val="single" w:sz="8" w:space="6" w:color="2B6CB0"/>
        </w:pBdr>
      </w:pPr>
      <w:r>
        <w:rPr>
          <w:b/>
          <w:color w:val="1A365D"/>
          <w:sz w:val="30"/>
        </w:rPr>
        <w:t>5. User Authentication Routing Gateway</w:t>
      </w:r>
    </w:p>
    <w:p>
      <w:pPr>
        <w:keepNext/>
        <w:spacing w:before="280" w:after="120"/>
      </w:pPr>
      <w:r>
        <w:rPr>
          <w:b/>
          <w:color w:val="2B6CB0"/>
          <w:sz w:val="24"/>
        </w:rPr>
        <w:t>5.1 Account Onboarding Node</w:t>
      </w:r>
    </w:p>
    <w:p>
      <w:pPr>
        <w:spacing w:after="80"/>
      </w:pPr>
      <w:r>
        <w:rPr>
          <w:b/>
        </w:rPr>
        <w:t xml:space="preserve">Route Definition: </w:t>
      </w:r>
      <w:r>
        <w:rPr>
          <w:rFonts w:ascii="Consolas" w:hAnsi="Consolas"/>
          <w:b/>
          <w:color w:val="1A365D"/>
        </w:rPr>
        <w:t xml:space="preserve"> POST </w:t>
      </w:r>
      <w:r>
        <w:rPr>
          <w:rFonts w:ascii="Consolas" w:hAnsi="Consolas"/>
          <w:b/>
        </w:rPr>
        <w:t xml:space="preserve"> /signup</w:t>
      </w:r>
    </w:p>
    <w:p>
      <w:pPr>
        <w:spacing w:before="80" w:after="40"/>
      </w:pPr>
      <w:r>
        <w:rPr>
          <w:i/>
        </w:rPr>
        <w:t>Application JSON Content-Type Request:</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"fullname": "Bhavani",</w:t>
              <w:br/>
              <w:t xml:space="preserve">  "email": "bhavani@gmail.com",</w:t>
              <w:br/>
              <w:t xml:space="preserve">  "username": "bhavani_admin",</w:t>
              <w:br/>
              <w:t xml:space="preserve">  "password": "secure_password_string"</w:t>
              <w:br/>
              <w:t>}</w:t>
            </w:r>
          </w:p>
        </w:tc>
      </w:tr>
    </w:tbl>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"message": "User created successfully"</w:t>
              <w:br/>
              <w:t>}</w:t>
            </w:r>
          </w:p>
        </w:tc>
      </w:tr>
    </w:tbl>
    <w:p>
      <w:pPr>
        <w:keepNext/>
        <w:spacing w:before="280" w:after="120"/>
      </w:pPr>
      <w:r>
        <w:rPr>
          <w:b/>
          <w:color w:val="2B6CB0"/>
          <w:sz w:val="24"/>
        </w:rPr>
        <w:t>5.2 Token Issue Session Node</w:t>
      </w:r>
    </w:p>
    <w:p>
      <w:pPr>
        <w:spacing w:after="80"/>
      </w:pPr>
      <w:r>
        <w:rPr>
          <w:b/>
        </w:rPr>
        <w:t xml:space="preserve">Route Definition: </w:t>
      </w:r>
      <w:r>
        <w:rPr>
          <w:rFonts w:ascii="Consolas" w:hAnsi="Consolas"/>
          <w:b/>
          <w:color w:val="1A365D"/>
        </w:rPr>
        <w:t xml:space="preserve"> POST </w:t>
      </w:r>
      <w:r>
        <w:rPr>
          <w:rFonts w:ascii="Consolas" w:hAnsi="Consolas"/>
          <w:b/>
        </w:rPr>
        <w:t xml:space="preserve"> /login</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"access_token": "eyJhbGciOiJIUzI1NiIsInR5cCI6IkpXVCJ9...",</w:t>
              <w:br/>
              <w:t xml:space="preserve">  "token_type": "bearer",</w:t>
              <w:br/>
              <w:t xml:space="preserve">  "username": "bhavani_admin",</w:t>
              <w:br/>
              <w:t xml:space="preserve">  "role": "User"</w:t>
              <w:br/>
              <w:t>}</w:t>
            </w:r>
          </w:p>
        </w:tc>
      </w:tr>
    </w:tbl>
    <w:p>
      <w:pPr>
        <w:keepNext/>
        <w:spacing w:before="400" w:after="160"/>
        <w:pBdr>
          <w:bottom w:val="single" w:sz="8" w:space="6" w:color="2B6CB0"/>
        </w:pBdr>
      </w:pPr>
      <w:r>
        <w:rPr>
          <w:b/>
          <w:color w:val="1A365D"/>
          <w:sz w:val="30"/>
        </w:rPr>
        <w:t>6. Policy Matrix Rule Configurations</w:t>
      </w:r>
    </w:p>
    <w:p>
      <w:pPr>
        <w:keepNext/>
        <w:spacing w:before="280" w:after="120"/>
      </w:pPr>
      <w:r>
        <w:rPr>
          <w:b/>
          <w:color w:val="2B6CB0"/>
          <w:sz w:val="24"/>
        </w:rPr>
        <w:t>6.1 Create Adaptive Compliance Parameter</w:t>
      </w:r>
    </w:p>
    <w:p>
      <w:pPr>
        <w:spacing w:after="80"/>
      </w:pPr>
      <w:r>
        <w:rPr>
          <w:b/>
        </w:rPr>
        <w:t xml:space="preserve">Route Definition: </w:t>
      </w:r>
      <w:r>
        <w:rPr>
          <w:rFonts w:ascii="Consolas" w:hAnsi="Consolas"/>
          <w:b/>
          <w:color w:val="1A365D"/>
        </w:rPr>
        <w:t xml:space="preserve"> POST </w:t>
      </w:r>
      <w:r>
        <w:rPr>
          <w:rFonts w:ascii="Consolas" w:hAnsi="Consolas"/>
          <w:b/>
        </w:rPr>
        <w:t xml:space="preserve"> /create-policy</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"message": "Policy created successfully",</w:t>
              <w:br/>
              <w:t xml:space="preserve">  "policy": {</w:t>
              <w:br/>
              <w:t xml:space="preserve">    "id": 1,</w:t>
              <w:br/>
              <w:t xml:space="preserve">    "policy_name": "DM Protection Suite",</w:t>
              <w:br/>
              <w:t xml:space="preserve">    "risk_score": 93,</w:t>
              <w:br/>
              <w:t xml:space="preserve">    "automation_level": "Fully Automated"</w:t>
              <w:br/>
              <w:t xml:space="preserve">  }</w:t>
              <w:br/>
              <w:t>}</w:t>
            </w:r>
          </w:p>
        </w:tc>
      </w:tr>
    </w:tbl>
    <w:p>
      <w:pPr>
        <w:keepNext/>
        <w:spacing w:before="400" w:after="160"/>
        <w:pBdr>
          <w:bottom w:val="single" w:sz="8" w:space="6" w:color="2B6CB0"/>
        </w:pBdr>
      </w:pPr>
      <w:r>
        <w:rPr>
          <w:b/>
          <w:color w:val="1A365D"/>
          <w:sz w:val="30"/>
        </w:rPr>
        <w:t>7. Automated Playbook Orchestration</w:t>
      </w:r>
    </w:p>
    <w:p>
      <w:pPr>
        <w:keepNext/>
        <w:spacing w:before="280" w:after="120"/>
      </w:pPr>
      <w:r>
        <w:rPr>
          <w:b/>
          <w:color w:val="2B6CB0"/>
          <w:sz w:val="24"/>
        </w:rPr>
        <w:t>7.1 Runtime Analytical Threat Inspection Node</w:t>
      </w:r>
    </w:p>
    <w:p>
      <w:pPr>
        <w:spacing w:after="80"/>
      </w:pPr>
      <w:r>
        <w:rPr>
          <w:b/>
        </w:rPr>
        <w:t xml:space="preserve">Route Definition: </w:t>
      </w:r>
      <w:r>
        <w:rPr>
          <w:rFonts w:ascii="Consolas" w:hAnsi="Consolas"/>
          <w:b/>
          <w:color w:val="1A365D"/>
        </w:rPr>
        <w:t xml:space="preserve"> POST </w:t>
      </w:r>
      <w:r>
        <w:rPr>
          <w:rFonts w:ascii="Consolas" w:hAnsi="Consolas"/>
          <w:b/>
        </w:rPr>
        <w:t xml:space="preserve"> /execute-workflow</w:t>
      </w:r>
    </w:p>
    <w:p>
      <w:pPr>
        <w:spacing w:before="80" w:after="40"/>
      </w:pPr>
      <w:r>
        <w:rPr>
          <w:i/>
        </w:rPr>
        <w:t>Application JSON Content-Type Request:</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"threat_input": "phishing scam fake otp attack"</w:t>
              <w:br/>
              <w:t>}</w:t>
            </w:r>
          </w:p>
        </w:tc>
      </w:tr>
    </w:tbl>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"workflow_type": "DM Protection Suite",</w:t>
              <w:br/>
              <w:t xml:space="preserve">  "risk_score": 84,</w:t>
              <w:br/>
              <w:t xml:space="preserve">  "severity": "High",</w:t>
              <w:br/>
              <w:t xml:space="preserve">  "enforcement_action": "Flagged &amp; User Notified",</w:t>
              <w:br/>
              <w:t xml:space="preserve">  "automation_level": "Fully Automated",</w:t>
              <w:br/>
              <w:t xml:space="preserve">  "execution_status": "Enforcement Executed Automatically",</w:t>
              <w:br/>
              <w:t xml:space="preserve">  "ai_explanation": [</w:t>
              <w:br/>
              <w:t xml:space="preserve">    "Harassment indicators detected",</w:t>
              <w:br/>
              <w:t xml:space="preserve">    "Phishing-related behavior detected",</w:t>
              <w:br/>
              <w:t xml:space="preserve">    "Threat language detected"</w:t>
              <w:br/>
              <w:t xml:space="preserve">  ]</w:t>
              <w:br/>
              <w:t>}</w:t>
            </w:r>
          </w:p>
        </w:tc>
      </w:tr>
    </w:tbl>
    <w:p>
      <w:pPr>
        <w:keepNext/>
        <w:spacing w:before="400" w:after="160"/>
        <w:pBdr>
          <w:bottom w:val="single" w:sz="8" w:space="6" w:color="2B6CB0"/>
        </w:pBdr>
      </w:pPr>
      <w:r>
        <w:rPr>
          <w:b/>
          <w:color w:val="1A365D"/>
          <w:sz w:val="30"/>
        </w:rPr>
        <w:t>8. Client Environment Trust Validation</w:t>
      </w:r>
    </w:p>
    <w:p>
      <w:pPr>
        <w:keepNext/>
        <w:spacing w:before="280" w:after="120"/>
      </w:pPr>
      <w:r>
        <w:rPr>
          <w:b/>
          <w:color w:val="2B6CB0"/>
          <w:sz w:val="24"/>
        </w:rPr>
        <w:t>8.1 Attest Verified Secure Hardware Platform</w:t>
      </w:r>
    </w:p>
    <w:p>
      <w:pPr>
        <w:spacing w:after="80"/>
      </w:pPr>
      <w:r>
        <w:rPr>
          <w:b/>
        </w:rPr>
        <w:t xml:space="preserve">Route Definition: </w:t>
      </w:r>
      <w:r>
        <w:rPr>
          <w:rFonts w:ascii="Consolas" w:hAnsi="Consolas"/>
          <w:b/>
          <w:color w:val="1A365D"/>
        </w:rPr>
        <w:t xml:space="preserve"> POST </w:t>
      </w:r>
      <w:r>
        <w:rPr>
          <w:rFonts w:ascii="Consolas" w:hAnsi="Consolas"/>
          <w:b/>
        </w:rPr>
        <w:t xml:space="preserve"> /scan-device</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"device_name": "Samsung S24 (Enterprise Attested)",</w:t>
              <w:br/>
              <w:t xml:space="preserve">  "risk_score": 10,</w:t>
              <w:br/>
              <w:t xml:space="preserve">  "reputation": "Safe",</w:t>
              <w:br/>
              <w:t xml:space="preserve">  "device_status": "Trusted",</w:t>
              <w:br/>
              <w:t xml:space="preserve">  "threat_detected": false</w:t>
              <w:br/>
              <w:t>}</w:t>
            </w:r>
          </w:p>
        </w:tc>
      </w:tr>
    </w:tbl>
    <w:p>
      <w:pPr>
        <w:keepNext/>
        <w:spacing w:before="280" w:after="120"/>
      </w:pPr>
      <w:r>
        <w:rPr>
          <w:b/>
          <w:color w:val="2B6CB0"/>
          <w:sz w:val="24"/>
        </w:rPr>
        <w:t>8.2 Attest Suspect Corrupted Device Context</w:t>
      </w:r>
    </w:p>
    <w:p>
      <w:pPr>
        <w:spacing w:after="80"/>
      </w:pPr>
      <w:r>
        <w:rPr>
          <w:b/>
        </w:rPr>
        <w:t xml:space="preserve">Route Definition: </w:t>
      </w:r>
      <w:r>
        <w:rPr>
          <w:rFonts w:ascii="Consolas" w:hAnsi="Consolas"/>
          <w:b/>
          <w:color w:val="1A365D"/>
        </w:rPr>
        <w:t xml:space="preserve"> POST </w:t>
      </w:r>
      <w:r>
        <w:rPr>
          <w:rFonts w:ascii="Consolas" w:hAnsi="Consolas"/>
          <w:b/>
        </w:rPr>
        <w:t xml:space="preserve"> /scan-device</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"device_name": "Unknown Rooted Environment APK",</w:t>
              <w:br/>
              <w:t xml:space="preserve">  "risk_score": 85,</w:t>
              <w:br/>
              <w:t xml:space="preserve">  "reputation": "Suspicious",</w:t>
              <w:br/>
              <w:t xml:space="preserve">  "device_status": "Flagged",</w:t>
              <w:br/>
              <w:t xml:space="preserve">  "threat_detected": true</w:t>
              <w:br/>
              <w:t>}</w:t>
            </w:r>
          </w:p>
        </w:tc>
      </w:tr>
    </w:tbl>
    <w:p>
      <w:pPr>
        <w:keepNext/>
        <w:spacing w:before="400" w:after="160"/>
        <w:pBdr>
          <w:bottom w:val="single" w:sz="8" w:space="6" w:color="2B6CB0"/>
        </w:pBdr>
      </w:pPr>
      <w:r>
        <w:rPr>
          <w:b/>
          <w:color w:val="1A365D"/>
          <w:sz w:val="30"/>
        </w:rPr>
        <w:t>9. Multimodal Object Validation Framework</w:t>
      </w:r>
    </w:p>
    <w:p>
      <w:pPr>
        <w:keepNext/>
        <w:spacing w:before="280" w:after="120"/>
      </w:pPr>
      <w:r>
        <w:rPr>
          <w:b/>
          <w:color w:val="2B6CB0"/>
          <w:sz w:val="24"/>
        </w:rPr>
        <w:t>9.1 Binary Asset Signature Inspection</w:t>
      </w:r>
    </w:p>
    <w:p>
      <w:pPr>
        <w:spacing w:after="80"/>
      </w:pPr>
      <w:r>
        <w:rPr>
          <w:b/>
        </w:rPr>
        <w:t xml:space="preserve">Route Definition: </w:t>
      </w:r>
      <w:r>
        <w:rPr>
          <w:rFonts w:ascii="Consolas" w:hAnsi="Consolas"/>
          <w:b/>
          <w:color w:val="1A365D"/>
        </w:rPr>
        <w:t xml:space="preserve"> POST </w:t>
      </w:r>
      <w:r>
        <w:rPr>
          <w:rFonts w:ascii="Consolas" w:hAnsi="Consolas"/>
          <w:b/>
        </w:rPr>
        <w:t xml:space="preserve"> /scan-media</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"media_name": "intercepted_payload_otp.png",</w:t>
              <w:br/>
              <w:t xml:space="preserve">  "risk_score": 35,</w:t>
              <w:br/>
              <w:t xml:space="preserve">  "content_status": "Safe",</w:t>
              <w:br/>
              <w:t xml:space="preserve">  "detected_labels": [</w:t>
              <w:br/>
              <w:t xml:space="preserve">    "Scam Content Structural Match"</w:t>
              <w:br/>
              <w:t xml:space="preserve">  ],</w:t>
              <w:br/>
              <w:t xml:space="preserve">  "recommended_action": "Allow Content with Alert"</w:t>
              <w:br/>
              <w:t>}</w:t>
            </w:r>
          </w:p>
        </w:tc>
      </w:tr>
    </w:tbl>
    <w:p>
      <w:pPr>
        <w:keepNext/>
        <w:spacing w:before="400" w:after="160"/>
        <w:pBdr>
          <w:bottom w:val="single" w:sz="8" w:space="6" w:color="2B6CB0"/>
        </w:pBdr>
      </w:pPr>
      <w:r>
        <w:rPr>
          <w:b/>
          <w:color w:val="1A365D"/>
          <w:sz w:val="30"/>
        </w:rPr>
        <w:t>10. Core Serial Offender Tracking Gateway</w:t>
      </w:r>
    </w:p>
    <w:p>
      <w:pPr>
        <w:keepNext/>
        <w:spacing w:before="280" w:after="120"/>
      </w:pPr>
      <w:r>
        <w:rPr>
          <w:b/>
          <w:color w:val="2B6CB0"/>
          <w:sz w:val="24"/>
        </w:rPr>
        <w:t>10.1 Multi-Session Behavioral Query Node</w:t>
      </w:r>
    </w:p>
    <w:p>
      <w:pPr>
        <w:spacing w:after="80"/>
      </w:pPr>
      <w:r>
        <w:rPr>
          <w:b/>
        </w:rPr>
        <w:t xml:space="preserve">Route Definition: </w:t>
      </w:r>
      <w:r>
        <w:rPr>
          <w:rFonts w:ascii="Consolas" w:hAnsi="Consolas"/>
          <w:b/>
          <w:color w:val="1A365D"/>
        </w:rPr>
        <w:t xml:space="preserve"> POST </w:t>
      </w:r>
      <w:r>
        <w:rPr>
          <w:rFonts w:ascii="Consolas" w:hAnsi="Consolas"/>
          <w:b/>
        </w:rPr>
        <w:t xml:space="preserve"> /detect-offender</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"username": "persistent_risk_actor",</w:t>
              <w:br/>
              <w:t xml:space="preserve">  "offense_count": 7,</w:t>
              <w:br/>
              <w:t xml:space="preserve">  "risk_level": "High",</w:t>
              <w:br/>
              <w:t xml:space="preserve">  "recommended_action": "Suspend Account Immediately",</w:t>
              <w:br/>
              <w:t xml:space="preserve">  "repeat_offender": true</w:t>
              <w:br/>
              <w:t>}</w:t>
            </w:r>
          </w:p>
        </w:tc>
      </w:tr>
    </w:tbl>
    <w:p>
      <w:pPr>
        <w:keepNext/>
        <w:spacing w:before="400" w:after="160"/>
        <w:pBdr>
          <w:bottom w:val="single" w:sz="8" w:space="6" w:color="2B6CB0"/>
        </w:pBdr>
      </w:pPr>
      <w:r>
        <w:rPr>
          <w:b/>
          <w:color w:val="1A365D"/>
          <w:sz w:val="30"/>
        </w:rPr>
        <w:t>11. Zero-Delay Emergency Crisis Management</w:t>
      </w:r>
    </w:p>
    <w:p>
      <w:pPr>
        <w:keepNext/>
        <w:spacing w:before="280" w:after="120"/>
      </w:pPr>
      <w:r>
        <w:rPr>
          <w:b/>
          <w:color w:val="2B6CB0"/>
          <w:sz w:val="24"/>
        </w:rPr>
        <w:t>11.1 Dynamic High-Hazard Safety Override Endpoint</w:t>
      </w:r>
    </w:p>
    <w:p>
      <w:pPr>
        <w:spacing w:after="80"/>
      </w:pPr>
      <w:r>
        <w:rPr>
          <w:b/>
        </w:rPr>
        <w:t xml:space="preserve">Route Definition: </w:t>
      </w:r>
      <w:r>
        <w:rPr>
          <w:rFonts w:ascii="Consolas" w:hAnsi="Consolas"/>
          <w:b/>
          <w:color w:val="1A365D"/>
        </w:rPr>
        <w:t xml:space="preserve"> POST </w:t>
      </w:r>
      <w:r>
        <w:rPr>
          <w:rFonts w:ascii="Consolas" w:hAnsi="Consolas"/>
          <w:b/>
        </w:rPr>
        <w:t xml:space="preserve"> /emergency-scan</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"risk_level": "Critical",</w:t>
              <w:br/>
              <w:t xml:space="preserve">  "emergency_detected": true,</w:t>
              <w:br/>
              <w:t xml:space="preserve">  "escalation_action": "Notify Corporate Information Security Officer",</w:t>
              <w:br/>
              <w:t xml:space="preserve">  "priority": "Immediate Zero-Delay",</w:t>
              <w:br/>
              <w:t xml:space="preserve">  "recommended_response": "Lock Account Session &amp; Evacuate Context"</w:t>
              <w:br/>
              <w:t>}</w:t>
            </w:r>
          </w:p>
        </w:tc>
      </w:tr>
    </w:tbl>
    <w:p>
      <w:pPr>
        <w:keepNext/>
        <w:spacing w:before="400" w:after="160"/>
        <w:pBdr>
          <w:bottom w:val="single" w:sz="8" w:space="6" w:color="2B6CB0"/>
        </w:pBdr>
      </w:pPr>
      <w:r>
        <w:rPr>
          <w:b/>
          <w:color w:val="1A365D"/>
          <w:sz w:val="30"/>
        </w:rPr>
        <w:t>12. Integrated Operational Data Aggregations</w:t>
      </w:r>
    </w:p>
    <w:p>
      <w:pPr>
        <w:keepNext/>
        <w:spacing w:before="280" w:after="120"/>
      </w:pPr>
      <w:r>
        <w:rPr>
          <w:b/>
          <w:color w:val="2B6CB0"/>
          <w:sz w:val="24"/>
        </w:rPr>
        <w:t>12.1 Query Aggregated Infrastructure Operational Overviews</w:t>
      </w:r>
    </w:p>
    <w:p>
      <w:pPr>
        <w:spacing w:after="80"/>
      </w:pPr>
      <w:r>
        <w:rPr>
          <w:b/>
        </w:rPr>
        <w:t xml:space="preserve">Route Definition: </w:t>
      </w:r>
      <w:r>
        <w:rPr>
          <w:rFonts w:ascii="Consolas" w:hAnsi="Consolas"/>
          <w:b/>
          <w:color w:val="1A365D"/>
        </w:rPr>
        <w:t xml:space="preserve"> GET </w:t>
      </w:r>
      <w:r>
        <w:rPr>
          <w:rFonts w:ascii="Consolas" w:hAnsi="Consolas"/>
          <w:b/>
        </w:rPr>
        <w:t xml:space="preserve"> /dashboard-metrics</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"active_policies": 2,</w:t>
              <w:br/>
              <w:t xml:space="preserve">  "risk_alerts_24h": 4,</w:t>
              <w:br/>
              <w:t xml:space="preserve">  "automated_safeguards": 7,</w:t>
              <w:br/>
              <w:t xml:space="preserve">  "audit_logs": 12,</w:t>
              <w:br/>
              <w:t xml:space="preserve">  "average_risk_score": 81</w:t>
              <w:br/>
              <w:t>}</w:t>
            </w:r>
          </w:p>
        </w:tc>
      </w:tr>
    </w:tbl>
    <w:p>
      <w:pPr>
        <w:keepNext/>
        <w:spacing w:before="280" w:after="120"/>
      </w:pPr>
      <w:r>
        <w:rPr>
          <w:b/>
          <w:color w:val="2B6CB0"/>
          <w:sz w:val="24"/>
        </w:rPr>
        <w:t>12.2 Fetch Structural Incident Severity Volume Matrices</w:t>
      </w:r>
    </w:p>
    <w:p>
      <w:pPr>
        <w:spacing w:after="80"/>
      </w:pPr>
      <w:r>
        <w:rPr>
          <w:b/>
        </w:rPr>
        <w:t xml:space="preserve">Route Definition: </w:t>
      </w:r>
      <w:r>
        <w:rPr>
          <w:rFonts w:ascii="Consolas" w:hAnsi="Consolas"/>
          <w:b/>
          <w:color w:val="1A365D"/>
        </w:rPr>
        <w:t xml:space="preserve"> GET </w:t>
      </w:r>
      <w:r>
        <w:rPr>
          <w:rFonts w:ascii="Consolas" w:hAnsi="Consolas"/>
          <w:b/>
        </w:rPr>
        <w:t xml:space="preserve"> /severity-distribution</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"Critical": 2,</w:t>
              <w:br/>
              <w:t xml:space="preserve">  "High": 5,</w:t>
              <w:br/>
              <w:t xml:space="preserve">  "Medium": 3,</w:t>
              <w:br/>
              <w:t xml:space="preserve">  "Low": 1</w:t>
              <w:br/>
              <w:t>}</w:t>
            </w:r>
          </w:p>
        </w:tc>
      </w:tr>
    </w:tbl>
    <w:p>
      <w:pPr>
        <w:keepNext/>
        <w:spacing w:before="280" w:after="120"/>
      </w:pPr>
      <w:r>
        <w:rPr>
          <w:b/>
          <w:color w:val="2B6CB0"/>
          <w:sz w:val="24"/>
        </w:rPr>
        <w:t>12.3 Pull Streaming Event Flow Rate Vectors</w:t>
      </w:r>
    </w:p>
    <w:p>
      <w:pPr>
        <w:spacing w:after="80"/>
      </w:pPr>
      <w:r>
        <w:rPr>
          <w:b/>
        </w:rPr>
        <w:t xml:space="preserve">Route Definition: </w:t>
      </w:r>
      <w:r>
        <w:rPr>
          <w:rFonts w:ascii="Consolas" w:hAnsi="Consolas"/>
          <w:b/>
          <w:color w:val="1A365D"/>
        </w:rPr>
        <w:t xml:space="preserve"> GET </w:t>
      </w:r>
      <w:r>
        <w:rPr>
          <w:rFonts w:ascii="Consolas" w:hAnsi="Consolas"/>
          <w:b/>
        </w:rPr>
        <w:t xml:space="preserve"> /threat-trends</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w:t>
              <w:br/>
              <w:t xml:space="preserve">    "event_type": "DM Protection Suite",</w:t>
              <w:br/>
              <w:t xml:space="preserve">    "severity": "High",</w:t>
              <w:br/>
              <w:t xml:space="preserve">    "risk_score": 84,</w:t>
              <w:br/>
              <w:t xml:space="preserve">    "workflow_type": "DM Protection Suite"</w:t>
              <w:br/>
              <w:t xml:space="preserve">  }</w:t>
              <w:br/>
              <w:t>]</w:t>
            </w:r>
          </w:p>
        </w:tc>
      </w:tr>
    </w:tbl>
    <w:p>
      <w:pPr>
        <w:keepNext/>
        <w:spacing w:before="400" w:after="160"/>
        <w:pBdr>
          <w:bottom w:val="single" w:sz="8" w:space="6" w:color="2B6CB0"/>
        </w:pBdr>
      </w:pPr>
      <w:r>
        <w:rPr>
          <w:b/>
          <w:color w:val="1A365D"/>
          <w:sz w:val="30"/>
        </w:rPr>
        <w:t>13. Scheduled Analytical Operational Reviews</w:t>
      </w:r>
    </w:p>
    <w:p>
      <w:pPr>
        <w:keepNext/>
        <w:spacing w:before="280" w:after="120"/>
      </w:pPr>
      <w:r>
        <w:rPr>
          <w:b/>
          <w:color w:val="2B6CB0"/>
          <w:sz w:val="24"/>
        </w:rPr>
        <w:t>13.1 Compute Automated Rollup Summary Performance Manifest</w:t>
      </w:r>
    </w:p>
    <w:p>
      <w:pPr>
        <w:spacing w:after="80"/>
      </w:pPr>
      <w:r>
        <w:rPr>
          <w:b/>
        </w:rPr>
        <w:t xml:space="preserve">Route Definition: </w:t>
      </w:r>
      <w:r>
        <w:rPr>
          <w:rFonts w:ascii="Consolas" w:hAnsi="Consolas"/>
          <w:b/>
          <w:color w:val="1A365D"/>
        </w:rPr>
        <w:t xml:space="preserve"> GET </w:t>
      </w:r>
      <w:r>
        <w:rPr>
          <w:rFonts w:ascii="Consolas" w:hAnsi="Consolas"/>
          <w:b/>
        </w:rPr>
        <w:t xml:space="preserve"> /weekly-report</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"total_threats": 4,</w:t>
              <w:br/>
              <w:t xml:space="preserve">  "critical_alerts": 1,</w:t>
              <w:br/>
              <w:t xml:space="preserve">  "active_policies": 2,</w:t>
              <w:br/>
              <w:t xml:space="preserve">  "average_risk_score": 81,</w:t>
              <w:br/>
              <w:t xml:space="preserve">  "safeguards_triggered": 7,</w:t>
              <w:br/>
              <w:t xml:space="preserve">  "top_threat": "Direct Message Social Engineering",</w:t>
              <w:br/>
              <w:t xml:space="preserve">  "system_status": "Fully Protected"</w:t>
              <w:br/>
              <w:t>}</w:t>
            </w:r>
          </w:p>
        </w:tc>
      </w:tr>
    </w:tbl>
    <w:p>
      <w:pPr>
        <w:keepNext/>
        <w:spacing w:before="400" w:after="160"/>
        <w:pBdr>
          <w:bottom w:val="single" w:sz="8" w:space="6" w:color="2B6CB0"/>
        </w:pBdr>
      </w:pPr>
      <w:r>
        <w:rPr>
          <w:b/>
          <w:color w:val="1A365D"/>
          <w:sz w:val="30"/>
        </w:rPr>
        <w:t>14. Advanced Model Health Telemetry Logs</w:t>
      </w:r>
    </w:p>
    <w:p>
      <w:pPr>
        <w:keepNext/>
        <w:spacing w:before="280" w:after="120"/>
      </w:pPr>
      <w:r>
        <w:rPr>
          <w:b/>
          <w:color w:val="2B6CB0"/>
          <w:sz w:val="24"/>
        </w:rPr>
        <w:t>14.1 Fetch Model Precision and Parameter Tracking Metrics</w:t>
      </w:r>
    </w:p>
    <w:p>
      <w:pPr>
        <w:spacing w:after="80"/>
      </w:pPr>
      <w:r>
        <w:rPr>
          <w:b/>
        </w:rPr>
        <w:t xml:space="preserve">Route Definition: </w:t>
      </w:r>
      <w:r>
        <w:rPr>
          <w:rFonts w:ascii="Consolas" w:hAnsi="Consolas"/>
          <w:b/>
          <w:color w:val="1A365D"/>
        </w:rPr>
        <w:t xml:space="preserve"> GET </w:t>
      </w:r>
      <w:r>
        <w:rPr>
          <w:rFonts w:ascii="Consolas" w:hAnsi="Consolas"/>
          <w:b/>
        </w:rPr>
        <w:t xml:space="preserve"> /model-analytics</w:t>
      </w:r>
    </w:p>
    <w:p>
      <w:pPr>
        <w:spacing w:before="80" w:after="40"/>
      </w:pPr>
      <w:r>
        <w:rPr>
          <w:i/>
        </w:rPr>
        <w:t>Application JSON Content-Type Response:</w:t>
      </w:r>
    </w:p>
    <w:tbl>
      <w:tblPr>
        <w:tblW w:type="auto" w:w="0"/>
        <w:jc w:val="center"/>
        <w:tblLayout w:type="fixed"/>
        <w:tblLook w:firstColumn="1" w:firstRow="1" w:lastColumn="0" w:lastRow="0" w:noHBand="0" w:noVBand="1" w:val="04A0"/>
        <w:tblBorders>
          <w:left w:val="single" w:sz="24" w:color="2D3748"/>
          <w:top w:val="none"/>
          <w:bottom w:val="none"/>
          <w:right w:val="none"/>
          <w:insideH w:val="none"/>
          <w:insideV w:val="none"/>
        </w:tblBorders>
      </w:tblPr>
      <w:tblGrid>
        <w:gridCol w:w="9360"/>
      </w:tblGrid>
      <w:tr>
        <w:tc>
          <w:tcPr>
            <w:tcW w:type="dxa" w:w="9360"/>
            <w:shd w:val="clear" w:color="auto" w:fill="F5F7FA"/>
            <w:tcMar>
              <w:top w:w="140" w:type="dxa"/>
              <w:bottom w:w="140" w:type="dxa"/>
              <w:left w:w="180" w:type="dxa"/>
              <w:right w:w="180" w:type="dxa"/>
            </w:tcMar>
          </w:tcPr>
          <w:p>
            <w:pPr>
              <w:spacing w:before="0" w:after="0" w:line="276" w:lineRule="auto"/>
            </w:pPr>
            <w:r>
              <w:rPr>
                <w:rFonts w:ascii="Consolas" w:hAnsi="Consolas"/>
                <w:color w:val="2D3748"/>
                <w:sz w:val="19"/>
              </w:rPr>
              <w:t>{</w:t>
              <w:br/>
              <w:t xml:space="preserve">  "model_name": "Guardian NLP Multi-Label Classifier",</w:t>
              <w:br/>
              <w:t xml:space="preserve">  "detection_accuracy": 94,</w:t>
              <w:br/>
              <w:t xml:space="preserve">  "false_positives": 1,</w:t>
              <w:br/>
              <w:t xml:space="preserve">  "threats_detected": 8,</w:t>
              <w:br/>
              <w:t xml:space="preserve">  "enforcement_success_rate": 89,</w:t>
              <w:br/>
              <w:t xml:space="preserve">  "model_confidence": 95</w:t>
              <w:br/>
              <w:t>}</w:t>
            </w:r>
          </w:p>
        </w:tc>
      </w:tr>
    </w:tbl>
    <w:p>
      <w:pPr>
        <w:keepNext/>
        <w:spacing w:before="400" w:after="160"/>
        <w:pBdr>
          <w:bottom w:val="single" w:sz="8" w:space="6" w:color="2B6CB0"/>
        </w:pBdr>
      </w:pPr>
      <w:r>
        <w:rPr>
          <w:b/>
          <w:color w:val="1A365D"/>
          <w:sz w:val="30"/>
        </w:rPr>
        <w:t>15. Attested Active Platform Capabilities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680"/>
        <w:gridCol w:w="4680"/>
      </w:tblGrid>
      <w:tr>
        <w:tc>
          <w:tcPr>
            <w:tcW w:type="dxa" w:w="5040"/>
            <w:shd w:val="clear" w:color="auto" w:fill="1A365D"/>
            <w:tcMar>
              <w:top w:w="120" w:type="dxa"/>
              <w:bottom w:w="120" w:type="dxa"/>
              <w:left w:w="150" w:type="dxa"/>
              <w:right w:w="150" w:type="dxa"/>
            </w:tcMar>
          </w:tcPr>
          <w:p>
            <w:r>
              <w:rPr>
                <w:b/>
                <w:color w:val="FFFFFF"/>
                <w:sz w:val="20"/>
              </w:rPr>
              <w:t>Validated Functional Component</w:t>
            </w:r>
          </w:p>
        </w:tc>
        <w:tc>
          <w:tcPr>
            <w:tcW w:type="dxa" w:w="4320"/>
            <w:shd w:val="clear" w:color="auto" w:fill="1A365D"/>
            <w:tcMar>
              <w:top w:w="120" w:type="dxa"/>
              <w:bottom w:w="120" w:type="dxa"/>
              <w:left w:w="150" w:type="dxa"/>
              <w:right w:w="150" w:type="dxa"/>
            </w:tcMar>
          </w:tcPr>
          <w:p>
            <w:r>
              <w:rPr>
                <w:b/>
                <w:color w:val="FFFFFF"/>
                <w:sz w:val="20"/>
              </w:rPr>
              <w:t>Platform Operational Status</w:t>
            </w:r>
          </w:p>
        </w:tc>
      </w:tr>
      <w:tr>
        <w:tc>
          <w:tcPr>
            <w:tcW w:type="dxa" w:w="5040"/>
            <w:shd w:val="clear" w:color="auto" w:fill="FFFFFF"/>
            <w:tcMar>
              <w:top w:w="100" w:type="dxa"/>
              <w:bottom w:w="100" w:type="dxa"/>
              <w:left w:w="150" w:type="dxa"/>
              <w:right w:w="150" w:type="dxa"/>
            </w:tcMar>
          </w:tcPr>
          <w:p>
            <w:pPr>
              <w:spacing w:after="0"/>
            </w:pPr>
            <w:r>
              <w:rPr>
                <w:b/>
                <w:sz w:val="19"/>
              </w:rPr>
              <w:t>AI Threat Detection Modules</w:t>
            </w:r>
          </w:p>
        </w:tc>
        <w:tc>
          <w:tcPr>
            <w:tcW w:type="dxa" w:w="4320"/>
            <w:shd w:val="clear" w:color="auto" w:fill="FFFFFF"/>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EDF2F7"/>
            <w:tcMar>
              <w:top w:w="100" w:type="dxa"/>
              <w:bottom w:w="100" w:type="dxa"/>
              <w:left w:w="150" w:type="dxa"/>
              <w:right w:w="150" w:type="dxa"/>
            </w:tcMar>
          </w:tcPr>
          <w:p>
            <w:pPr>
              <w:spacing w:after="0"/>
            </w:pPr>
            <w:r>
              <w:rPr>
                <w:b/>
                <w:sz w:val="19"/>
              </w:rPr>
              <w:t>Dynamic Risk Scoring Matrix Engines</w:t>
            </w:r>
          </w:p>
        </w:tc>
        <w:tc>
          <w:tcPr>
            <w:tcW w:type="dxa" w:w="4320"/>
            <w:shd w:val="clear" w:color="auto" w:fill="EDF2F7"/>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FFFFFF"/>
            <w:tcMar>
              <w:top w:w="100" w:type="dxa"/>
              <w:bottom w:w="100" w:type="dxa"/>
              <w:left w:w="150" w:type="dxa"/>
              <w:right w:w="150" w:type="dxa"/>
            </w:tcMar>
          </w:tcPr>
          <w:p>
            <w:pPr>
              <w:spacing w:after="0"/>
            </w:pPr>
            <w:r>
              <w:rPr>
                <w:b/>
                <w:sz w:val="19"/>
              </w:rPr>
              <w:t>Automated Workflow Core Execution Handlers</w:t>
            </w:r>
          </w:p>
        </w:tc>
        <w:tc>
          <w:tcPr>
            <w:tcW w:type="dxa" w:w="4320"/>
            <w:shd w:val="clear" w:color="auto" w:fill="FFFFFF"/>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EDF2F7"/>
            <w:tcMar>
              <w:top w:w="100" w:type="dxa"/>
              <w:bottom w:w="100" w:type="dxa"/>
              <w:left w:w="150" w:type="dxa"/>
              <w:right w:w="150" w:type="dxa"/>
            </w:tcMar>
          </w:tcPr>
          <w:p>
            <w:pPr>
              <w:spacing w:after="0"/>
            </w:pPr>
            <w:r>
              <w:rPr>
                <w:b/>
                <w:sz w:val="19"/>
              </w:rPr>
              <w:t>Real-Time Multi-Channel Notification Vectors</w:t>
            </w:r>
          </w:p>
        </w:tc>
        <w:tc>
          <w:tcPr>
            <w:tcW w:type="dxa" w:w="4320"/>
            <w:shd w:val="clear" w:color="auto" w:fill="EDF2F7"/>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FFFFFF"/>
            <w:tcMar>
              <w:top w:w="100" w:type="dxa"/>
              <w:bottom w:w="100" w:type="dxa"/>
              <w:left w:w="150" w:type="dxa"/>
              <w:right w:w="150" w:type="dxa"/>
            </w:tcMar>
          </w:tcPr>
          <w:p>
            <w:pPr>
              <w:spacing w:after="0"/>
            </w:pPr>
            <w:r>
              <w:rPr>
                <w:b/>
                <w:sz w:val="19"/>
              </w:rPr>
              <w:t>Device Endpoint Environment Attestation Matrices</w:t>
            </w:r>
          </w:p>
        </w:tc>
        <w:tc>
          <w:tcPr>
            <w:tcW w:type="dxa" w:w="4320"/>
            <w:shd w:val="clear" w:color="auto" w:fill="FFFFFF"/>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EDF2F7"/>
            <w:tcMar>
              <w:top w:w="100" w:type="dxa"/>
              <w:bottom w:w="100" w:type="dxa"/>
              <w:left w:w="150" w:type="dxa"/>
              <w:right w:w="150" w:type="dxa"/>
            </w:tcMar>
          </w:tcPr>
          <w:p>
            <w:pPr>
              <w:spacing w:after="0"/>
            </w:pPr>
            <w:r>
              <w:rPr>
                <w:b/>
                <w:sz w:val="19"/>
              </w:rPr>
              <w:t>Cross-Platform Application Stream Interceptors</w:t>
            </w:r>
          </w:p>
        </w:tc>
        <w:tc>
          <w:tcPr>
            <w:tcW w:type="dxa" w:w="4320"/>
            <w:shd w:val="clear" w:color="auto" w:fill="EDF2F7"/>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FFFFFF"/>
            <w:tcMar>
              <w:top w:w="100" w:type="dxa"/>
              <w:bottom w:w="100" w:type="dxa"/>
              <w:left w:w="150" w:type="dxa"/>
              <w:right w:w="150" w:type="dxa"/>
            </w:tcMar>
          </w:tcPr>
          <w:p>
            <w:pPr>
              <w:spacing w:after="0"/>
            </w:pPr>
            <w:r>
              <w:rPr>
                <w:b/>
                <w:sz w:val="19"/>
              </w:rPr>
              <w:t>Zero-Delay Emergency Escalation Logic Blocks</w:t>
            </w:r>
          </w:p>
        </w:tc>
        <w:tc>
          <w:tcPr>
            <w:tcW w:type="dxa" w:w="4320"/>
            <w:shd w:val="clear" w:color="auto" w:fill="FFFFFF"/>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EDF2F7"/>
            <w:tcMar>
              <w:top w:w="100" w:type="dxa"/>
              <w:bottom w:w="100" w:type="dxa"/>
              <w:left w:w="150" w:type="dxa"/>
              <w:right w:w="150" w:type="dxa"/>
            </w:tcMar>
          </w:tcPr>
          <w:p>
            <w:pPr>
              <w:spacing w:after="0"/>
            </w:pPr>
            <w:r>
              <w:rPr>
                <w:b/>
                <w:sz w:val="19"/>
              </w:rPr>
              <w:t>Multimodal Image &amp; Structural Signature Scanning</w:t>
            </w:r>
          </w:p>
        </w:tc>
        <w:tc>
          <w:tcPr>
            <w:tcW w:type="dxa" w:w="4320"/>
            <w:shd w:val="clear" w:color="auto" w:fill="EDF2F7"/>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FFFFFF"/>
            <w:tcMar>
              <w:top w:w="100" w:type="dxa"/>
              <w:bottom w:w="100" w:type="dxa"/>
              <w:left w:w="150" w:type="dxa"/>
              <w:right w:w="150" w:type="dxa"/>
            </w:tcMar>
          </w:tcPr>
          <w:p>
            <w:pPr>
              <w:spacing w:after="0"/>
            </w:pPr>
            <w:r>
              <w:rPr>
                <w:b/>
                <w:sz w:val="19"/>
              </w:rPr>
              <w:t>Serial Bad Actor Multi-Session Tracking Logs</w:t>
            </w:r>
          </w:p>
        </w:tc>
        <w:tc>
          <w:tcPr>
            <w:tcW w:type="dxa" w:w="4320"/>
            <w:shd w:val="clear" w:color="auto" w:fill="FFFFFF"/>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EDF2F7"/>
            <w:tcMar>
              <w:top w:w="100" w:type="dxa"/>
              <w:bottom w:w="100" w:type="dxa"/>
              <w:left w:w="150" w:type="dxa"/>
              <w:right w:w="150" w:type="dxa"/>
            </w:tcMar>
          </w:tcPr>
          <w:p>
            <w:pPr>
              <w:spacing w:after="0"/>
            </w:pPr>
            <w:r>
              <w:rPr>
                <w:b/>
                <w:sz w:val="19"/>
              </w:rPr>
              <w:t>Executive Infrastructure Monitoring Overview APIs</w:t>
            </w:r>
          </w:p>
        </w:tc>
        <w:tc>
          <w:tcPr>
            <w:tcW w:type="dxa" w:w="4320"/>
            <w:shd w:val="clear" w:color="auto" w:fill="EDF2F7"/>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FFFFFF"/>
            <w:tcMar>
              <w:top w:w="100" w:type="dxa"/>
              <w:bottom w:w="100" w:type="dxa"/>
              <w:left w:w="150" w:type="dxa"/>
              <w:right w:w="150" w:type="dxa"/>
            </w:tcMar>
          </w:tcPr>
          <w:p>
            <w:pPr>
              <w:spacing w:after="0"/>
            </w:pPr>
            <w:r>
              <w:rPr>
                <w:b/>
                <w:sz w:val="19"/>
              </w:rPr>
              <w:t>Model Evaluation Telemetry &amp; Drift Observability</w:t>
            </w:r>
          </w:p>
        </w:tc>
        <w:tc>
          <w:tcPr>
            <w:tcW w:type="dxa" w:w="4320"/>
            <w:shd w:val="clear" w:color="auto" w:fill="FFFFFF"/>
            <w:tcMar>
              <w:top w:w="100" w:type="dxa"/>
              <w:bottom w:w="100" w:type="dxa"/>
              <w:left w:w="150" w:type="dxa"/>
              <w:right w:w="150" w:type="dxa"/>
            </w:tcMar>
          </w:tcPr>
          <w:p>
            <w:pPr>
              <w:spacing w:after="0"/>
            </w:pPr>
            <w:r>
              <w:rPr>
                <w:b/>
                <w:color w:val="2B6CB0"/>
                <w:sz w:val="19"/>
              </w:rPr>
              <w:t>Operational / Deployment Attested</w:t>
            </w:r>
          </w:p>
        </w:tc>
      </w:tr>
      <w:tr>
        <w:tc>
          <w:tcPr>
            <w:tcW w:type="dxa" w:w="5040"/>
            <w:shd w:val="clear" w:color="auto" w:fill="EDF2F7"/>
            <w:tcMar>
              <w:top w:w="100" w:type="dxa"/>
              <w:bottom w:w="100" w:type="dxa"/>
              <w:left w:w="150" w:type="dxa"/>
              <w:right w:w="150" w:type="dxa"/>
            </w:tcMar>
          </w:tcPr>
          <w:p>
            <w:pPr>
              <w:spacing w:after="0"/>
            </w:pPr>
            <w:r>
              <w:rPr>
                <w:b/>
                <w:sz w:val="19"/>
              </w:rPr>
              <w:t>Automated Weekly Enterprise Reporting Compilers</w:t>
            </w:r>
          </w:p>
        </w:tc>
        <w:tc>
          <w:tcPr>
            <w:tcW w:type="dxa" w:w="4320"/>
            <w:shd w:val="clear" w:color="auto" w:fill="EDF2F7"/>
            <w:tcMar>
              <w:top w:w="100" w:type="dxa"/>
              <w:bottom w:w="100" w:type="dxa"/>
              <w:left w:w="150" w:type="dxa"/>
              <w:right w:w="150" w:type="dxa"/>
            </w:tcMar>
          </w:tcPr>
          <w:p>
            <w:pPr>
              <w:spacing w:after="0"/>
            </w:pPr>
            <w:r>
              <w:rPr>
                <w:b/>
                <w:color w:val="2B6CB0"/>
                <w:sz w:val="19"/>
              </w:rPr>
              <w:t>Operational / Deployment Attested</w:t>
            </w:r>
          </w:p>
        </w:tc>
      </w:tr>
    </w:tbl>
    <w:p>
      <w:pPr>
        <w:keepNext/>
        <w:spacing w:before="400" w:after="160"/>
        <w:pBdr>
          <w:bottom w:val="single" w:sz="8" w:space="6" w:color="2B6CB0"/>
        </w:pBdr>
      </w:pPr>
      <w:r>
        <w:rPr>
          <w:b/>
          <w:color w:val="1A365D"/>
          <w:sz w:val="30"/>
        </w:rPr>
        <w:t>16. Downstream Production Engineering Roadmap</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4680"/>
        <w:gridCol w:w="4680"/>
      </w:tblGrid>
      <w:tr>
        <w:tc>
          <w:tcPr>
            <w:tcW w:type="dxa" w:w="3312"/>
            <w:shd w:val="clear" w:color="auto" w:fill="1A365D"/>
            <w:tcMar>
              <w:top w:w="120" w:type="dxa"/>
              <w:bottom w:w="120" w:type="dxa"/>
              <w:left w:w="150" w:type="dxa"/>
              <w:right w:w="150" w:type="dxa"/>
            </w:tcMar>
          </w:tcPr>
          <w:p>
            <w:r>
              <w:rPr>
                <w:b/>
                <w:color w:val="FFFFFF"/>
                <w:sz w:val="20"/>
              </w:rPr>
              <w:t>Target Roadmap Objective</w:t>
            </w:r>
          </w:p>
        </w:tc>
        <w:tc>
          <w:tcPr>
            <w:tcW w:type="dxa" w:w="6048"/>
            <w:shd w:val="clear" w:color="auto" w:fill="1A365D"/>
            <w:tcMar>
              <w:top w:w="120" w:type="dxa"/>
              <w:bottom w:w="120" w:type="dxa"/>
              <w:left w:w="150" w:type="dxa"/>
              <w:right w:w="150" w:type="dxa"/>
            </w:tcMar>
          </w:tcPr>
          <w:p>
            <w:r>
              <w:rPr>
                <w:b/>
                <w:color w:val="FFFFFF"/>
                <w:sz w:val="20"/>
              </w:rPr>
              <w:t>Strategic Engineering Purpose</w:t>
            </w:r>
          </w:p>
        </w:tc>
      </w:tr>
      <w:tr>
        <w:tc>
          <w:tcPr>
            <w:tcW w:type="dxa" w:w="3312"/>
            <w:shd w:val="clear" w:color="auto" w:fill="FFFFFF"/>
            <w:tcMar>
              <w:top w:w="100" w:type="dxa"/>
              <w:bottom w:w="100" w:type="dxa"/>
              <w:left w:w="150" w:type="dxa"/>
              <w:right w:w="150" w:type="dxa"/>
            </w:tcMar>
          </w:tcPr>
          <w:p>
            <w:pPr>
              <w:spacing w:after="0"/>
            </w:pPr>
            <w:r>
              <w:rPr>
                <w:b/>
                <w:sz w:val="19"/>
              </w:rPr>
              <w:t>WebSocket Continuous Push Transport Streams</w:t>
            </w:r>
          </w:p>
        </w:tc>
        <w:tc>
          <w:tcPr>
            <w:tcW w:type="dxa" w:w="6048"/>
            <w:shd w:val="clear" w:color="auto" w:fill="FFFFFF"/>
            <w:tcMar>
              <w:top w:w="100" w:type="dxa"/>
              <w:bottom w:w="100" w:type="dxa"/>
              <w:left w:w="150" w:type="dxa"/>
              <w:right w:w="150" w:type="dxa"/>
            </w:tcMar>
          </w:tcPr>
          <w:p>
            <w:pPr>
              <w:spacing w:after="0"/>
            </w:pPr>
            <w:r>
              <w:rPr>
                <w:sz w:val="19"/>
              </w:rPr>
              <w:t>Low-latency streaming bypass sockets to replace static short-interval continuous HTTP client queries.</w:t>
            </w:r>
          </w:p>
        </w:tc>
      </w:tr>
      <w:tr>
        <w:tc>
          <w:tcPr>
            <w:tcW w:type="dxa" w:w="3312"/>
            <w:shd w:val="clear" w:color="auto" w:fill="EDF2F7"/>
            <w:tcMar>
              <w:top w:w="100" w:type="dxa"/>
              <w:bottom w:w="100" w:type="dxa"/>
              <w:left w:w="150" w:type="dxa"/>
              <w:right w:w="150" w:type="dxa"/>
            </w:tcMar>
          </w:tcPr>
          <w:p>
            <w:pPr>
              <w:spacing w:after="0"/>
            </w:pPr>
            <w:r>
              <w:rPr>
                <w:b/>
                <w:sz w:val="19"/>
              </w:rPr>
              <w:t>Multi-Stage Native Docker Container Layouts</w:t>
            </w:r>
          </w:p>
        </w:tc>
        <w:tc>
          <w:tcPr>
            <w:tcW w:type="dxa" w:w="6048"/>
            <w:shd w:val="clear" w:color="auto" w:fill="EDF2F7"/>
            <w:tcMar>
              <w:top w:w="100" w:type="dxa"/>
              <w:bottom w:w="100" w:type="dxa"/>
              <w:left w:w="150" w:type="dxa"/>
              <w:right w:w="150" w:type="dxa"/>
            </w:tcMar>
          </w:tcPr>
          <w:p>
            <w:pPr>
              <w:spacing w:after="0"/>
            </w:pPr>
            <w:r>
              <w:rPr>
                <w:sz w:val="19"/>
              </w:rPr>
              <w:t>Optimized micro-footprint build layers ensuring pristine production infrastructure footprints.</w:t>
            </w:r>
          </w:p>
        </w:tc>
      </w:tr>
      <w:tr>
        <w:tc>
          <w:tcPr>
            <w:tcW w:type="dxa" w:w="3312"/>
            <w:shd w:val="clear" w:color="auto" w:fill="FFFFFF"/>
            <w:tcMar>
              <w:top w:w="100" w:type="dxa"/>
              <w:bottom w:w="100" w:type="dxa"/>
              <w:left w:w="150" w:type="dxa"/>
              <w:right w:w="150" w:type="dxa"/>
            </w:tcMar>
          </w:tcPr>
          <w:p>
            <w:pPr>
              <w:spacing w:after="0"/>
            </w:pPr>
            <w:r>
              <w:rPr>
                <w:b/>
                <w:sz w:val="19"/>
              </w:rPr>
              <w:t>Distributed Kubernetes Application Orchestration</w:t>
            </w:r>
          </w:p>
        </w:tc>
        <w:tc>
          <w:tcPr>
            <w:tcW w:type="dxa" w:w="6048"/>
            <w:shd w:val="clear" w:color="auto" w:fill="FFFFFF"/>
            <w:tcMar>
              <w:top w:w="100" w:type="dxa"/>
              <w:bottom w:w="100" w:type="dxa"/>
              <w:left w:w="150" w:type="dxa"/>
              <w:right w:w="150" w:type="dxa"/>
            </w:tcMar>
          </w:tcPr>
          <w:p>
            <w:pPr>
              <w:spacing w:after="0"/>
            </w:pPr>
            <w:r>
              <w:rPr>
                <w:sz w:val="19"/>
              </w:rPr>
              <w:t>Auto-scaling horizontal pod arrays ensuring system uptime parameters across distributed zones.</w:t>
            </w:r>
          </w:p>
        </w:tc>
      </w:tr>
      <w:tr>
        <w:tc>
          <w:tcPr>
            <w:tcW w:type="dxa" w:w="3312"/>
            <w:shd w:val="clear" w:color="auto" w:fill="EDF2F7"/>
            <w:tcMar>
              <w:top w:w="100" w:type="dxa"/>
              <w:bottom w:w="100" w:type="dxa"/>
              <w:left w:w="150" w:type="dxa"/>
              <w:right w:w="150" w:type="dxa"/>
            </w:tcMar>
          </w:tcPr>
          <w:p>
            <w:pPr>
              <w:spacing w:after="0"/>
            </w:pPr>
            <w:r>
              <w:rPr>
                <w:b/>
                <w:sz w:val="19"/>
              </w:rPr>
              <w:t>Decoupled Redis &amp; Celery Background Task Queues</w:t>
            </w:r>
          </w:p>
        </w:tc>
        <w:tc>
          <w:tcPr>
            <w:tcW w:type="dxa" w:w="6048"/>
            <w:shd w:val="clear" w:color="auto" w:fill="EDF2F7"/>
            <w:tcMar>
              <w:top w:w="100" w:type="dxa"/>
              <w:bottom w:w="100" w:type="dxa"/>
              <w:left w:w="150" w:type="dxa"/>
              <w:right w:w="150" w:type="dxa"/>
            </w:tcMar>
          </w:tcPr>
          <w:p>
            <w:pPr>
              <w:spacing w:after="0"/>
            </w:pPr>
            <w:r>
              <w:rPr>
                <w:sz w:val="19"/>
              </w:rPr>
              <w:t>Offloads expensive computational evaluation parameters to keep core api request nodes non-blocking.</w:t>
            </w:r>
          </w:p>
        </w:tc>
      </w:tr>
      <w:tr>
        <w:tc>
          <w:tcPr>
            <w:tcW w:type="dxa" w:w="3312"/>
            <w:shd w:val="clear" w:color="auto" w:fill="FFFFFF"/>
            <w:tcMar>
              <w:top w:w="100" w:type="dxa"/>
              <w:bottom w:w="100" w:type="dxa"/>
              <w:left w:w="150" w:type="dxa"/>
              <w:right w:w="150" w:type="dxa"/>
            </w:tcMar>
          </w:tcPr>
          <w:p>
            <w:pPr>
              <w:spacing w:after="0"/>
            </w:pPr>
            <w:r>
              <w:rPr>
                <w:b/>
                <w:sz w:val="19"/>
              </w:rPr>
              <w:t>Native Foundation Large Language Model Integrations</w:t>
            </w:r>
          </w:p>
        </w:tc>
        <w:tc>
          <w:tcPr>
            <w:tcW w:type="dxa" w:w="6048"/>
            <w:shd w:val="clear" w:color="auto" w:fill="FFFFFF"/>
            <w:tcMar>
              <w:top w:w="100" w:type="dxa"/>
              <w:bottom w:w="100" w:type="dxa"/>
              <w:left w:w="150" w:type="dxa"/>
              <w:right w:w="150" w:type="dxa"/>
            </w:tcMar>
          </w:tcPr>
          <w:p>
            <w:pPr>
              <w:spacing w:after="0"/>
            </w:pPr>
            <w:r>
              <w:rPr>
                <w:sz w:val="19"/>
              </w:rPr>
              <w:t>Direct pluggable routing hooks out to state-of-the-art model environments for deep reasoning tasks.</w:t>
            </w:r>
          </w:p>
        </w:tc>
      </w:tr>
      <w:tr>
        <w:tc>
          <w:tcPr>
            <w:tcW w:type="dxa" w:w="3312"/>
            <w:shd w:val="clear" w:color="auto" w:fill="EDF2F7"/>
            <w:tcMar>
              <w:top w:w="100" w:type="dxa"/>
              <w:bottom w:w="100" w:type="dxa"/>
              <w:left w:w="150" w:type="dxa"/>
              <w:right w:w="150" w:type="dxa"/>
            </w:tcMar>
          </w:tcPr>
          <w:p>
            <w:pPr>
              <w:spacing w:after="0"/>
            </w:pPr>
            <w:r>
              <w:rPr>
                <w:b/>
                <w:sz w:val="19"/>
              </w:rPr>
              <w:t>Granular Enterprise Multi-Tenant RBAC Nodes</w:t>
            </w:r>
          </w:p>
        </w:tc>
        <w:tc>
          <w:tcPr>
            <w:tcW w:type="dxa" w:w="6048"/>
            <w:shd w:val="clear" w:color="auto" w:fill="EDF2F7"/>
            <w:tcMar>
              <w:top w:w="100" w:type="dxa"/>
              <w:bottom w:w="100" w:type="dxa"/>
              <w:left w:w="150" w:type="dxa"/>
              <w:right w:w="150" w:type="dxa"/>
            </w:tcMar>
          </w:tcPr>
          <w:p>
            <w:pPr>
              <w:spacing w:after="0"/>
            </w:pPr>
            <w:r>
              <w:rPr>
                <w:sz w:val="19"/>
              </w:rPr>
              <w:t>Fine-grained permissions barriers mapping logical customer data domains seamlessly.</w:t>
            </w:r>
          </w:p>
        </w:tc>
      </w:tr>
      <w:tr>
        <w:tc>
          <w:tcPr>
            <w:tcW w:type="dxa" w:w="3312"/>
            <w:shd w:val="clear" w:color="auto" w:fill="FFFFFF"/>
            <w:tcMar>
              <w:top w:w="100" w:type="dxa"/>
              <w:bottom w:w="100" w:type="dxa"/>
              <w:left w:w="150" w:type="dxa"/>
              <w:right w:w="150" w:type="dxa"/>
            </w:tcMar>
          </w:tcPr>
          <w:p>
            <w:pPr>
              <w:spacing w:after="0"/>
            </w:pPr>
            <w:r>
              <w:rPr>
                <w:b/>
                <w:sz w:val="19"/>
              </w:rPr>
              <w:t>Isolated SaaS Multi-Tenant Database Topologies</w:t>
            </w:r>
          </w:p>
        </w:tc>
        <w:tc>
          <w:tcPr>
            <w:tcW w:type="dxa" w:w="6048"/>
            <w:shd w:val="clear" w:color="auto" w:fill="FFFFFF"/>
            <w:tcMar>
              <w:top w:w="100" w:type="dxa"/>
              <w:bottom w:w="100" w:type="dxa"/>
              <w:left w:w="150" w:type="dxa"/>
              <w:right w:w="150" w:type="dxa"/>
            </w:tcMar>
          </w:tcPr>
          <w:p>
            <w:pPr>
              <w:spacing w:after="0"/>
            </w:pPr>
            <w:r>
              <w:rPr>
                <w:sz w:val="19"/>
              </w:rPr>
              <w:t>Advanced logical cryptographic data fences ensuring separation across enterprise client boundaries.</w:t>
            </w:r>
          </w:p>
        </w:tc>
      </w:tr>
      <w:tr>
        <w:tc>
          <w:tcPr>
            <w:tcW w:type="dxa" w:w="3312"/>
            <w:shd w:val="clear" w:color="auto" w:fill="EDF2F7"/>
            <w:tcMar>
              <w:top w:w="100" w:type="dxa"/>
              <w:bottom w:w="100" w:type="dxa"/>
              <w:left w:w="150" w:type="dxa"/>
              <w:right w:w="150" w:type="dxa"/>
            </w:tcMar>
          </w:tcPr>
          <w:p>
            <w:pPr>
              <w:spacing w:after="0"/>
            </w:pPr>
            <w:r>
              <w:rPr>
                <w:b/>
                <w:sz w:val="19"/>
              </w:rPr>
              <w:t>Unified Observability Tracking System Metrics Stack</w:t>
            </w:r>
          </w:p>
        </w:tc>
        <w:tc>
          <w:tcPr>
            <w:tcW w:type="dxa" w:w="6048"/>
            <w:shd w:val="clear" w:color="auto" w:fill="EDF2F7"/>
            <w:tcMar>
              <w:top w:w="100" w:type="dxa"/>
              <w:bottom w:w="100" w:type="dxa"/>
              <w:left w:w="150" w:type="dxa"/>
              <w:right w:w="150" w:type="dxa"/>
            </w:tcMar>
          </w:tcPr>
          <w:p>
            <w:pPr>
              <w:spacing w:after="0"/>
            </w:pPr>
            <w:r>
              <w:rPr>
                <w:sz w:val="19"/>
              </w:rPr>
              <w:t>Structured telemetry routing exposing runtime processing latencies and health anomalies.</w:t>
            </w:r>
          </w:p>
        </w:tc>
      </w:tr>
    </w:tbl>
    <w:p>
      <w:pPr>
        <w:keepNext/>
        <w:spacing w:before="400" w:after="160"/>
        <w:pBdr>
          <w:bottom w:val="single" w:sz="8" w:space="6" w:color="2B6CB0"/>
        </w:pBdr>
      </w:pPr>
      <w:r>
        <w:rPr>
          <w:b/>
          <w:color w:val="1A365D"/>
          <w:sz w:val="30"/>
        </w:rPr>
        <w:t>17. Conclusion &amp; Operational Outlook</w:t>
      </w:r>
    </w:p>
    <w:p>
      <w:pPr>
        <w:spacing w:after="240"/>
      </w:pPr>
      <w:r>
        <w:t>The Guardian AI backend environment presents a modular, highly decoupled design built explicitly for the requirements of high-volume digital asset tracking and proactive event moderation. By separating data models from external analytics interfaces and logical microservice workflows, the platform ensures long-term extensibility as orchestration layers grow.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