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Deparment of Computer science and Engineering</w:t>
      </w:r>
    </w:p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Mandsaur University, Mandsaur</w:t>
      </w:r>
    </w:p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4"/>
          <w:shd w:fill="auto" w:val="clear"/>
        </w:rPr>
        <w:t xml:space="preserve">Computer Architecture And Organization</w:t>
      </w:r>
    </w:p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4"/>
          <w:u w:val="single"/>
          <w:shd w:fill="auto" w:val="clear"/>
        </w:rPr>
        <w:t xml:space="preserve">Assignment -1</w:t>
      </w:r>
    </w:p>
    <w:p>
      <w:pPr>
        <w:spacing w:before="0" w:after="0" w:line="276"/>
        <w:ind w:right="0" w:left="0" w:firstLine="0"/>
        <w:jc w:val="center"/>
        <w:rPr>
          <w:rFonts w:ascii="Noto Serif Hebrew" w:hAnsi="Noto Serif Hebrew" w:cs="Noto Serif Hebrew" w:eastAsia="Noto Serif Hebr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1. Case: In a desktop computer, certain arithmetic instructions fail to execute properly, but logical operations work fine.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Q: Analyze how different parts of the CPU contribute to this issue. Could it be related to the Instruction Format, ALU, or Control Unit? Justify your answer.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2. Case: You are designing a custom CPU for an embedded controller used in industrial automation.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Q: Design a basic register transfer language (RTL) sequence for a custom instruction set, including an addressing mode of your choice. Justify your RTL steps.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3. Case: Two architectures are proposed for a high-speed system </w:t>
      </w: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 one with a common bus and another with dedicated data paths between components.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</w:pPr>
      <w:r>
        <w:rPr>
          <w:rFonts w:ascii="Noto Serif Hebrew" w:hAnsi="Noto Serif Hebrew" w:cs="Noto Serif Hebrew" w:eastAsia="Noto Serif Hebrew"/>
          <w:color w:val="auto"/>
          <w:spacing w:val="0"/>
          <w:position w:val="0"/>
          <w:sz w:val="22"/>
          <w:shd w:fill="auto" w:val="clear"/>
        </w:rPr>
        <w:t xml:space="preserve"> Q: Critically evaluate both architectures in terms of speed, cost, and complexity. Recommend the better option for real-time applications and justify your reasoning.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