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Arial" w:hAnsi="Arial"/>
          <w:b/>
          <w:color w:val="1E3A8A"/>
          <w:sz w:val="52"/>
        </w:rPr>
        <w:t>Page Pulse &amp; PromptDesk</w:t>
      </w:r>
    </w:p>
    <w:p>
      <w:pPr>
        <w:spacing w:before="0" w:after="280"/>
        <w:jc w:val="left"/>
      </w:pPr>
      <w:r>
        <w:rPr>
          <w:rFonts w:ascii="Arial" w:hAnsi="Arial"/>
          <w:color w:val="64748B"/>
          <w:sz w:val="26"/>
        </w:rPr>
        <w:t>Comprehensive Technical Stack &amp; Architecture Specification</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2563EB"/>
              <w:bottom w:val="none"/>
              <w:right w:val="none"/>
            </w:tcBorders>
          </w:tcPr>
          <w:p>
            <w:pPr>
              <w:spacing w:before="40" w:after="40" w:line="276" w:lineRule="auto"/>
            </w:pPr>
            <w:r>
              <w:rPr>
                <w:rFonts w:ascii="Arial" w:hAnsi="Arial"/>
                <w:b/>
                <w:color w:val="1E3A8A"/>
                <w:sz w:val="21"/>
              </w:rPr>
              <w:t>PROJECT METADATA &amp; REPOSITORY REFERENCE</w:t>
              <w:br/>
            </w:r>
            <w:r>
              <w:rPr>
                <w:rFonts w:ascii="Arial" w:hAnsi="Arial"/>
                <w:color w:val="0F172A"/>
                <w:sz w:val="19"/>
              </w:rPr>
              <w:t>Author: Ayush Bhartal</w:t>
              <w:br/>
              <w:t>Role / Task: Digital Heroes SDE Training Task &amp; Full Stack Qualification</w:t>
              <w:br/>
              <w:t>Live Application (Page Pulse): https://digitalhero-six.vercel.app/</w:t>
              <w:br/>
              <w:t>GitHub Repository (Page Pulse): https://github.com/bhartalayush/Page-Pulse</w:t>
              <w:br/>
              <w:t>Live Application (PromptDesk): https://prompt-desk-theta.vercel.app/</w:t>
              <w:br/>
              <w:t>GitHub Repository (PromptDesk): https://github.com/bhartalayush/PromptDesk</w:t>
              <w:br/>
              <w:t>AI Tooling: Built with Google Antigravity &amp; OpenRouter Multi-Model Infrastructure</w:t>
              <w:br/>
              <w:t>Publication Date: October 2026 | Document Version: 2.0 (Production)</w:t>
            </w:r>
          </w:p>
        </w:tc>
      </w:tr>
    </w:tbl>
    <w:p>
      <w:pPr>
        <w:spacing w:before="0" w:after="80"/>
      </w:pPr>
    </w:p>
    <w:p>
      <w:pPr>
        <w:keepNext/>
        <w:spacing w:before="360" w:after="120"/>
        <w:pBdr>
          <w:bottom w:val="single" w:sz="12" w:space="4" w:color="2563EB"/>
        </w:pBdr>
      </w:pPr>
      <w:r>
        <w:rPr>
          <w:rFonts w:ascii="Arial" w:hAnsi="Arial"/>
          <w:b/>
          <w:color w:val="1E3A8A"/>
          <w:sz w:val="32"/>
        </w:rPr>
        <w:t>1. Executive Summary &amp; Architectural Overview</w:t>
      </w:r>
    </w:p>
    <w:p>
      <w:pPr>
        <w:spacing w:before="0" w:after="120" w:line="276" w:lineRule="auto"/>
      </w:pPr>
      <w:r>
        <w:rPr>
          <w:rFonts w:ascii="Arial" w:hAnsi="Arial"/>
          <w:color w:val="334155"/>
          <w:sz w:val="20"/>
        </w:rPr>
        <w:t>This specification provides a complete technical analysis of the engineering stack, architectural patterns, and integration protocols implemented across Page Pulse and PromptDesk. Developed for the Digital Heroes SDE Internship Qualification, the solution pairs a high-performance web auditing engine with a unified multi-model AI prompt evaluation workspace powered by OpenRouter and Google Antigravity.</w:t>
      </w:r>
    </w:p>
    <w:p>
      <w:pPr>
        <w:spacing w:before="0" w:after="120" w:line="276" w:lineRule="auto"/>
      </w:pPr>
      <w:r>
        <w:rPr>
          <w:rFonts w:ascii="Arial" w:hAnsi="Arial"/>
          <w:color w:val="334155"/>
          <w:sz w:val="20"/>
        </w:rPr>
        <w:t>The primary design pillars guiding this implementation are zero crash tolerance (resilient error recovery), sub-second analysis response times, edge-ready serverless execution, and multi-model AI evaluation parity. Every layer of the stack—from React 19 concurrent client components to inlined Vercel serverless micro-functions and OpenRouter's unified inference gateway—has been engineered to eliminate vendor lock-in, streamline developer workflows, and deliver defensible code quality.</w:t>
      </w:r>
    </w:p>
    <w:p>
      <w:pPr>
        <w:keepNext/>
        <w:spacing w:before="360" w:after="120"/>
        <w:pBdr>
          <w:bottom w:val="single" w:sz="12" w:space="4" w:color="2563EB"/>
        </w:pBdr>
      </w:pPr>
      <w:r>
        <w:rPr>
          <w:rFonts w:ascii="Arial" w:hAnsi="Arial"/>
          <w:b/>
          <w:color w:val="1E3A8A"/>
          <w:sz w:val="32"/>
        </w:rPr>
        <w:t>2. Page Pulse: Frontend Engineering Stack</w:t>
      </w:r>
    </w:p>
    <w:p>
      <w:pPr>
        <w:spacing w:before="0" w:after="120" w:line="276" w:lineRule="auto"/>
      </w:pPr>
      <w:r>
        <w:rPr>
          <w:rFonts w:ascii="Arial" w:hAnsi="Arial"/>
          <w:color w:val="334155"/>
          <w:sz w:val="20"/>
        </w:rPr>
        <w:t>Page Pulse features a responsive, single-page application (SPA) dashboard designed to capture and display granular website audit metrics in real time. The frontend is built on a modern TypeScript and React foundation.</w:t>
      </w:r>
    </w:p>
    <w:p>
      <w:pPr>
        <w:keepNext/>
        <w:spacing w:before="280" w:after="80"/>
      </w:pPr>
      <w:r>
        <w:rPr>
          <w:rFonts w:ascii="Arial" w:hAnsi="Arial"/>
          <w:b/>
          <w:color w:val="2563EB"/>
          <w:sz w:val="25"/>
        </w:rPr>
        <w:t>2.1 Core Framework &amp; Language Layer</w:t>
      </w:r>
    </w:p>
    <w:p>
      <w:pPr>
        <w:pStyle w:val="ListBullet"/>
        <w:spacing w:before="0" w:after="60" w:line="276" w:lineRule="auto"/>
        <w:ind w:left="360"/>
      </w:pPr>
      <w:r>
        <w:rPr>
          <w:rFonts w:ascii="Arial" w:hAnsi="Arial"/>
          <w:b/>
          <w:color w:val="0F172A"/>
          <w:sz w:val="19"/>
        </w:rPr>
        <w:t xml:space="preserve">React 19: </w:t>
      </w:r>
      <w:r>
        <w:rPr>
          <w:rFonts w:ascii="Arial" w:hAnsi="Arial"/>
          <w:color w:val="334155"/>
          <w:sz w:val="19"/>
        </w:rPr>
        <w:t xml:space="preserve"> Serves as the core reactive UI runtime. Utilizes modern hook abstractions (useState, useEffect, useCallback, useRef) for fluid state handling and seamless reconciliation without external bulky state libraries.</w:t>
      </w:r>
    </w:p>
    <w:p>
      <w:pPr>
        <w:pStyle w:val="ListBullet"/>
        <w:spacing w:before="0" w:after="60" w:line="276" w:lineRule="auto"/>
        <w:ind w:left="360"/>
      </w:pPr>
      <w:r>
        <w:rPr>
          <w:rFonts w:ascii="Arial" w:hAnsi="Arial"/>
          <w:b/>
          <w:color w:val="0F172A"/>
          <w:sz w:val="19"/>
        </w:rPr>
        <w:t xml:space="preserve">TypeScript (~5.8): </w:t>
      </w:r>
      <w:r>
        <w:rPr>
          <w:rFonts w:ascii="Arial" w:hAnsi="Arial"/>
          <w:color w:val="334155"/>
          <w:sz w:val="19"/>
        </w:rPr>
        <w:t xml:space="preserve"> Enforces strict end-to-end type safety across user inputs, network payloads, error envelopes, and audit metrics. Prevents runtime property access faults when handling malformed external DOM hierarchies.</w:t>
      </w:r>
    </w:p>
    <w:p>
      <w:pPr>
        <w:pStyle w:val="ListBullet"/>
        <w:spacing w:before="0" w:after="60" w:line="276" w:lineRule="auto"/>
        <w:ind w:left="360"/>
      </w:pPr>
      <w:r>
        <w:rPr>
          <w:rFonts w:ascii="Arial" w:hAnsi="Arial"/>
          <w:b/>
          <w:color w:val="0F172A"/>
          <w:sz w:val="19"/>
        </w:rPr>
        <w:t xml:space="preserve">Vite 6 Build System: </w:t>
      </w:r>
      <w:r>
        <w:rPr>
          <w:rFonts w:ascii="Arial" w:hAnsi="Arial"/>
          <w:color w:val="334155"/>
          <w:sz w:val="19"/>
        </w:rPr>
        <w:t xml:space="preserve"> Built on Vite 6 with @vitejs/plugin-react, providing near-instantaneous Hot Module Replacement (HMR) during local development and highly optimized Rollup-based asset compilation for production. Generates split chunks (~127 kB gzipped JS, ~7.5 kB CSS).</w:t>
      </w:r>
    </w:p>
    <w:p>
      <w:pPr>
        <w:pStyle w:val="ListBullet"/>
        <w:spacing w:before="0" w:after="60" w:line="276" w:lineRule="auto"/>
        <w:ind w:left="360"/>
      </w:pPr>
      <w:r>
        <w:rPr>
          <w:rFonts w:ascii="Arial" w:hAnsi="Arial"/>
          <w:b/>
          <w:color w:val="0F172A"/>
          <w:sz w:val="19"/>
        </w:rPr>
        <w:t xml:space="preserve">Vite Dev Server Middleware: </w:t>
      </w:r>
      <w:r>
        <w:rPr>
          <w:rFonts w:ascii="Arial" w:hAnsi="Arial"/>
          <w:color w:val="334155"/>
          <w:sz w:val="19"/>
        </w:rPr>
        <w:t xml:space="preserve"> Configured custom proxy middleware in vite.config.ts to seamlessly emulate Vercel's serverless /api/audit routes during local testing without spinning up secondary backend servers.</w:t>
      </w:r>
    </w:p>
    <w:p>
      <w:pPr>
        <w:keepNext/>
        <w:spacing w:before="280" w:after="80"/>
      </w:pPr>
      <w:r>
        <w:rPr>
          <w:rFonts w:ascii="Arial" w:hAnsi="Arial"/>
          <w:b/>
          <w:color w:val="2563EB"/>
          <w:sz w:val="25"/>
        </w:rPr>
        <w:t>2.2 Visual Design System &amp; Styling</w:t>
      </w:r>
    </w:p>
    <w:p>
      <w:pPr>
        <w:pStyle w:val="ListBullet"/>
        <w:spacing w:before="0" w:after="60" w:line="276" w:lineRule="auto"/>
        <w:ind w:left="360"/>
      </w:pPr>
      <w:r>
        <w:rPr>
          <w:rFonts w:ascii="Arial" w:hAnsi="Arial"/>
          <w:b/>
          <w:color w:val="0F172A"/>
          <w:sz w:val="19"/>
        </w:rPr>
        <w:t xml:space="preserve">Tailwind CSS v4: </w:t>
      </w:r>
      <w:r>
        <w:rPr>
          <w:rFonts w:ascii="Arial" w:hAnsi="Arial"/>
          <w:color w:val="334155"/>
          <w:sz w:val="19"/>
        </w:rPr>
        <w:t xml:space="preserve"> Utilizes the latest engine with zero-configuration CSS tokens and @tailwindcss/vite integration. Employs modern utility classes for rapid layout composition.</w:t>
      </w:r>
    </w:p>
    <w:p>
      <w:pPr>
        <w:pStyle w:val="ListBullet"/>
        <w:spacing w:before="0" w:after="60" w:line="276" w:lineRule="auto"/>
        <w:ind w:left="360"/>
      </w:pPr>
      <w:r>
        <w:rPr>
          <w:rFonts w:ascii="Arial" w:hAnsi="Arial"/>
          <w:b/>
          <w:color w:val="0F172A"/>
          <w:sz w:val="19"/>
        </w:rPr>
        <w:t xml:space="preserve">Pastel Design Language: </w:t>
      </w:r>
      <w:r>
        <w:rPr>
          <w:rFonts w:ascii="Arial" w:hAnsi="Arial"/>
          <w:color w:val="334155"/>
          <w:sz w:val="19"/>
        </w:rPr>
        <w:t xml:space="preserve"> Styled with a high-contrast pastel palette specifically tuned to balance aesthetic softness with accessibility readability. Uses soft pastel card surfaces (lavender, mint, sky-blue, amber) bordered by crisp slate (#1E293B) contours.</w:t>
      </w:r>
    </w:p>
    <w:p>
      <w:pPr>
        <w:pStyle w:val="ListBullet"/>
        <w:spacing w:before="0" w:after="60" w:line="276" w:lineRule="auto"/>
        <w:ind w:left="360"/>
      </w:pPr>
      <w:r>
        <w:rPr>
          <w:rFonts w:ascii="Arial" w:hAnsi="Arial"/>
          <w:b/>
          <w:color w:val="0F172A"/>
          <w:sz w:val="19"/>
        </w:rPr>
        <w:t xml:space="preserve">Responsive Layouts: </w:t>
      </w:r>
      <w:r>
        <w:rPr>
          <w:rFonts w:ascii="Arial" w:hAnsi="Arial"/>
          <w:color w:val="334155"/>
          <w:sz w:val="19"/>
        </w:rPr>
        <w:t xml:space="preserve"> Built using dynamic CSS grid and flexbox rules to deliver complete usability across mobile devices (360px), tablet screens, and high-density 4K desktop displays.</w:t>
      </w:r>
    </w:p>
    <w:p>
      <w:pPr>
        <w:keepNext/>
        <w:spacing w:before="280" w:after="80"/>
      </w:pPr>
      <w:r>
        <w:rPr>
          <w:rFonts w:ascii="Arial" w:hAnsi="Arial"/>
          <w:b/>
          <w:color w:val="2563EB"/>
          <w:sz w:val="25"/>
        </w:rPr>
        <w:t>2.3 Motion &amp; Interactive Components</w:t>
      </w:r>
    </w:p>
    <w:p>
      <w:pPr>
        <w:pStyle w:val="ListBullet"/>
        <w:spacing w:before="0" w:after="60" w:line="276" w:lineRule="auto"/>
        <w:ind w:left="360"/>
      </w:pPr>
      <w:r>
        <w:rPr>
          <w:rFonts w:ascii="Arial" w:hAnsi="Arial"/>
          <w:b/>
          <w:color w:val="0F172A"/>
          <w:sz w:val="19"/>
        </w:rPr>
        <w:t xml:space="preserve">Motion (Framer Motion v12): </w:t>
      </w:r>
      <w:r>
        <w:rPr>
          <w:rFonts w:ascii="Arial" w:hAnsi="Arial"/>
          <w:color w:val="334155"/>
          <w:sz w:val="19"/>
        </w:rPr>
        <w:t xml:space="preserve"> Powers fluid physics-based layout transitions, hover depth states, animated floating background particles (replacing resource-heavy canvas shaders), and sliding tab panels.</w:t>
      </w:r>
    </w:p>
    <w:p>
      <w:pPr>
        <w:pStyle w:val="ListBullet"/>
        <w:spacing w:before="0" w:after="60" w:line="276" w:lineRule="auto"/>
        <w:ind w:left="360"/>
      </w:pPr>
      <w:r>
        <w:rPr>
          <w:rFonts w:ascii="Arial" w:hAnsi="Arial"/>
          <w:b/>
          <w:color w:val="0F172A"/>
          <w:sz w:val="19"/>
        </w:rPr>
        <w:t xml:space="preserve">Interactive Terminal Emulator: </w:t>
      </w:r>
      <w:r>
        <w:rPr>
          <w:rFonts w:ascii="Arial" w:hAnsi="Arial"/>
          <w:color w:val="334155"/>
          <w:sz w:val="19"/>
        </w:rPr>
        <w:t xml:space="preserve"> Displays live simulated terminal steps (DNS Resolution -&gt; Connection Handshake -&gt; HTML Stream Retrieval -&gt; DOM Hierarchy Parsing -&gt; Metric Compilation) during audit processing.</w:t>
      </w:r>
    </w:p>
    <w:p>
      <w:pPr>
        <w:pStyle w:val="ListBullet"/>
        <w:spacing w:before="0" w:after="60" w:line="276" w:lineRule="auto"/>
        <w:ind w:left="360"/>
      </w:pPr>
      <w:r>
        <w:rPr>
          <w:rFonts w:ascii="Arial" w:hAnsi="Arial"/>
          <w:b/>
          <w:color w:val="0F172A"/>
          <w:sz w:val="19"/>
        </w:rPr>
        <w:t xml:space="preserve">Lucide React (v0.546): </w:t>
      </w:r>
      <w:r>
        <w:rPr>
          <w:rFonts w:ascii="Arial" w:hAnsi="Arial"/>
          <w:color w:val="334155"/>
          <w:sz w:val="19"/>
        </w:rPr>
        <w:t xml:space="preserve"> Clean iconography for status badges, copy-to-clipboard actions, network speed gauges, and accessibility indicators.</w:t>
      </w:r>
    </w:p>
    <w:p>
      <w:pPr>
        <w:keepNext/>
        <w:spacing w:before="360" w:after="120"/>
        <w:pBdr>
          <w:bottom w:val="single" w:sz="12" w:space="4" w:color="2563EB"/>
        </w:pBdr>
      </w:pPr>
      <w:r>
        <w:rPr>
          <w:rFonts w:ascii="Arial" w:hAnsi="Arial"/>
          <w:b/>
          <w:color w:val="1E3A8A"/>
          <w:sz w:val="32"/>
        </w:rPr>
        <w:t>3. Page Pulse: Backend &amp; Serverless API Architecture</w:t>
      </w:r>
    </w:p>
    <w:p>
      <w:pPr>
        <w:spacing w:before="0" w:after="120" w:line="276" w:lineRule="auto"/>
      </w:pPr>
      <w:r>
        <w:rPr>
          <w:rFonts w:ascii="Arial" w:hAnsi="Arial"/>
          <w:color w:val="334155"/>
          <w:sz w:val="20"/>
        </w:rPr>
        <w:t>The backend is architected as an event-driven serverless function deployed at /api/audit.ts on Vercel. It accepts target URLs via GET requests and performs real-time extraction, validation, and performance timing.</w:t>
      </w:r>
    </w:p>
    <w:p>
      <w:pPr>
        <w:keepNext/>
        <w:spacing w:before="280" w:after="80"/>
      </w:pPr>
      <w:r>
        <w:rPr>
          <w:rFonts w:ascii="Arial" w:hAnsi="Arial"/>
          <w:b/>
          <w:color w:val="2563EB"/>
          <w:sz w:val="25"/>
        </w:rPr>
        <w:t>3.1 Serverless Runtime &amp; Inlined Bundling Resolution</w:t>
      </w:r>
    </w:p>
    <w:p>
      <w:pPr>
        <w:spacing w:before="0" w:after="120" w:line="276" w:lineRule="auto"/>
      </w:pPr>
      <w:r>
        <w:rPr>
          <w:rFonts w:ascii="Arial" w:hAnsi="Arial"/>
          <w:color w:val="334155"/>
          <w:sz w:val="20"/>
        </w:rPr>
        <w:t>A critical technical hurdle solved during deployment was Vercel's serverless bundler isolation. When api/audit.ts originally imported extraction utilities from ../src/utils/parser.ts, Vercel's production compiler failed to bundle external modules and Cheerio into the isolated Lambda environment, resulting in a silent 500 crash ('Unexpected token A in JSON at position 0').</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2563EB"/>
              <w:bottom w:val="none"/>
              <w:right w:val="none"/>
            </w:tcBorders>
          </w:tcPr>
          <w:p>
            <w:pPr>
              <w:spacing w:before="40" w:after="40" w:line="276" w:lineRule="auto"/>
            </w:pPr>
            <w:r>
              <w:rPr>
                <w:rFonts w:ascii="Arial" w:hAnsi="Arial"/>
                <w:b/>
                <w:color w:val="1E3A8A"/>
                <w:sz w:val="21"/>
              </w:rPr>
              <w:t>TECHNICAL HARDENING: INLINED SERVERLESS MODULE PATTERN</w:t>
              <w:br/>
            </w:r>
            <w:r>
              <w:rPr>
                <w:rFonts w:ascii="Arial" w:hAnsi="Arial"/>
                <w:color w:val="0F172A"/>
                <w:sz w:val="19"/>
              </w:rPr>
              <w:t>Architecture Solution: The parsing routines and Cheerio dependencies were inlined directly into api/audit.ts. This converted the serverless function into a 100% self-contained, zero-dependency deployment artifact that bundles instantaneously with guaranteed module resolution on Vercel's edge nodes.</w:t>
            </w:r>
          </w:p>
        </w:tc>
      </w:tr>
    </w:tbl>
    <w:p>
      <w:pPr>
        <w:spacing w:before="0" w:after="80"/>
      </w:pPr>
    </w:p>
    <w:p>
      <w:pPr>
        <w:keepNext/>
        <w:spacing w:before="280" w:after="80"/>
      </w:pPr>
      <w:r>
        <w:rPr>
          <w:rFonts w:ascii="Arial" w:hAnsi="Arial"/>
          <w:b/>
          <w:color w:val="2563EB"/>
          <w:sz w:val="25"/>
        </w:rPr>
        <w:t>3.2 Cheerio DOM Parsing &amp; Metric Extraction Engine</w:t>
      </w:r>
    </w:p>
    <w:p>
      <w:pPr>
        <w:pStyle w:val="ListBullet"/>
        <w:spacing w:before="0" w:after="60" w:line="276" w:lineRule="auto"/>
        <w:ind w:left="360"/>
      </w:pPr>
      <w:r>
        <w:rPr>
          <w:rFonts w:ascii="Arial" w:hAnsi="Arial"/>
          <w:b/>
          <w:color w:val="0F172A"/>
          <w:sz w:val="19"/>
        </w:rPr>
        <w:t xml:space="preserve">1. Page Title Extraction: </w:t>
      </w:r>
      <w:r>
        <w:rPr>
          <w:rFonts w:ascii="Arial" w:hAnsi="Arial"/>
          <w:color w:val="334155"/>
          <w:sz w:val="19"/>
        </w:rPr>
        <w:t xml:space="preserve"> Extracts the first &lt;title&gt; node, with fallback to top-level heading text or a descriptive default if missing.</w:t>
      </w:r>
    </w:p>
    <w:p>
      <w:pPr>
        <w:pStyle w:val="ListBullet"/>
        <w:spacing w:before="0" w:after="60" w:line="276" w:lineRule="auto"/>
        <w:ind w:left="360"/>
      </w:pPr>
      <w:r>
        <w:rPr>
          <w:rFonts w:ascii="Arial" w:hAnsi="Arial"/>
          <w:b/>
          <w:color w:val="0F172A"/>
          <w:sz w:val="19"/>
        </w:rPr>
        <w:t xml:space="preserve">2. Meta Description Discovery: </w:t>
      </w:r>
      <w:r>
        <w:rPr>
          <w:rFonts w:ascii="Arial" w:hAnsi="Arial"/>
          <w:color w:val="334155"/>
          <w:sz w:val="19"/>
        </w:rPr>
        <w:t xml:space="preserve"> Implements cascading search across &lt;meta name="description"&gt; and Open Graph fallback &lt;meta property="og:description"&gt; to capture social media and search metadata.</w:t>
      </w:r>
    </w:p>
    <w:p>
      <w:pPr>
        <w:pStyle w:val="ListBullet"/>
        <w:spacing w:before="0" w:after="60" w:line="276" w:lineRule="auto"/>
        <w:ind w:left="360"/>
      </w:pPr>
      <w:r>
        <w:rPr>
          <w:rFonts w:ascii="Arial" w:hAnsi="Arial"/>
          <w:b/>
          <w:color w:val="0F172A"/>
          <w:sz w:val="19"/>
        </w:rPr>
        <w:t xml:space="preserve">3. H1 Heading Audit: </w:t>
      </w:r>
      <w:r>
        <w:rPr>
          <w:rFonts w:ascii="Arial" w:hAnsi="Arial"/>
          <w:color w:val="334155"/>
          <w:sz w:val="19"/>
        </w:rPr>
        <w:t xml:space="preserve"> Evaluates proper page hierarchy by counting all top-level &lt;h1&gt; elements to detect duplicate or missing primary headings.</w:t>
      </w:r>
    </w:p>
    <w:p>
      <w:pPr>
        <w:pStyle w:val="ListBullet"/>
        <w:spacing w:before="0" w:after="60" w:line="276" w:lineRule="auto"/>
        <w:ind w:left="360"/>
      </w:pPr>
      <w:r>
        <w:rPr>
          <w:rFonts w:ascii="Arial" w:hAnsi="Arial"/>
          <w:b/>
          <w:color w:val="0F172A"/>
          <w:sz w:val="19"/>
        </w:rPr>
        <w:t xml:space="preserve">4. Accessibility Alt-Text Scan: </w:t>
      </w:r>
      <w:r>
        <w:rPr>
          <w:rFonts w:ascii="Arial" w:hAnsi="Arial"/>
          <w:color w:val="334155"/>
          <w:sz w:val="19"/>
        </w:rPr>
        <w:t xml:space="preserve"> Iterates over all &lt;img&gt; elements and accurately identifies missing alt attributes or alt attributes containing only whitespace, checking WCAG compliance.</w:t>
      </w:r>
    </w:p>
    <w:p>
      <w:pPr>
        <w:pStyle w:val="ListBullet"/>
        <w:spacing w:before="0" w:after="60" w:line="276" w:lineRule="auto"/>
        <w:ind w:left="360"/>
      </w:pPr>
      <w:r>
        <w:rPr>
          <w:rFonts w:ascii="Arial" w:hAnsi="Arial"/>
          <w:b/>
          <w:color w:val="0F172A"/>
          <w:sz w:val="19"/>
        </w:rPr>
        <w:t xml:space="preserve">5. Approximate Body Word Count: </w:t>
      </w:r>
      <w:r>
        <w:rPr>
          <w:rFonts w:ascii="Arial" w:hAnsi="Arial"/>
          <w:color w:val="334155"/>
          <w:sz w:val="19"/>
        </w:rPr>
        <w:t xml:space="preserve"> Clones the root DOM element and systematically strips non-visible nodes (&lt;script&gt;, &lt;style&gt;, &lt;svg&gt;, &lt;iframe&gt;, &lt;noscript&gt;, &lt;head&gt;, &lt;link&gt;). Sanitizes whitespace and accurately counts readable text tokens.</w:t>
      </w:r>
    </w:p>
    <w:p>
      <w:pPr>
        <w:keepNext/>
        <w:spacing w:before="280" w:after="80"/>
      </w:pPr>
      <w:r>
        <w:rPr>
          <w:rFonts w:ascii="Arial" w:hAnsi="Arial"/>
          <w:b/>
          <w:color w:val="2563EB"/>
          <w:sz w:val="25"/>
        </w:rPr>
        <w:t>3.3 Resilience, Error Handling &amp; Circuit Breakers</w:t>
      </w:r>
    </w:p>
    <w:p>
      <w:pPr>
        <w:pStyle w:val="ListBullet"/>
        <w:spacing w:before="0" w:after="60" w:line="276" w:lineRule="auto"/>
        <w:ind w:left="360"/>
      </w:pPr>
      <w:r>
        <w:rPr>
          <w:rFonts w:ascii="Arial" w:hAnsi="Arial"/>
          <w:b/>
          <w:color w:val="0F172A"/>
          <w:sz w:val="19"/>
        </w:rPr>
        <w:t xml:space="preserve">Circuit-Breaker Timeout: </w:t>
      </w:r>
      <w:r>
        <w:rPr>
          <w:rFonts w:ascii="Arial" w:hAnsi="Arial"/>
          <w:color w:val="334155"/>
          <w:sz w:val="19"/>
        </w:rPr>
        <w:t xml:space="preserve"> Network requests are bounded by a strict 8,000ms AbortController timeout. If an external server hangs or delays streaming, the function terminates safely and returns HTTP 408 (Request Timeout).</w:t>
      </w:r>
    </w:p>
    <w:p>
      <w:pPr>
        <w:pStyle w:val="ListBullet"/>
        <w:spacing w:before="0" w:after="60" w:line="276" w:lineRule="auto"/>
        <w:ind w:left="360"/>
      </w:pPr>
      <w:r>
        <w:rPr>
          <w:rFonts w:ascii="Arial" w:hAnsi="Arial"/>
          <w:b/>
          <w:color w:val="0F172A"/>
          <w:sz w:val="19"/>
        </w:rPr>
        <w:t xml:space="preserve">Content-Type Validation: </w:t>
      </w:r>
      <w:r>
        <w:rPr>
          <w:rFonts w:ascii="Arial" w:hAnsi="Arial"/>
          <w:color w:val="334155"/>
          <w:sz w:val="19"/>
        </w:rPr>
        <w:t xml:space="preserve"> Checks Content-Type headers before downloading full payloads. If an audited URL points to a PDF, image, or binary stream, the endpoint immediately rejects the request with HTTP 400 and clear diagnostic metadata.</w:t>
      </w:r>
    </w:p>
    <w:p>
      <w:pPr>
        <w:pStyle w:val="ListBullet"/>
        <w:spacing w:before="0" w:after="60" w:line="276" w:lineRule="auto"/>
        <w:ind w:left="360"/>
      </w:pPr>
      <w:r>
        <w:rPr>
          <w:rFonts w:ascii="Arial" w:hAnsi="Arial"/>
          <w:b/>
          <w:color w:val="0F172A"/>
          <w:sz w:val="19"/>
        </w:rPr>
        <w:t xml:space="preserve">Network Exception Shield: </w:t>
      </w:r>
      <w:r>
        <w:rPr>
          <w:rFonts w:ascii="Arial" w:hAnsi="Arial"/>
          <w:color w:val="334155"/>
          <w:sz w:val="19"/>
        </w:rPr>
        <w:t xml:space="preserve"> Gracefully intercepts ENOTFOUND, ETIMEDOUT, and TLS handshake failures, returning HTTP 520 with JSON error payloads rather than terminating the Node.js process.</w:t>
      </w:r>
    </w:p>
    <w:p>
      <w:pPr>
        <w:keepNext/>
        <w:spacing w:before="360" w:after="120"/>
        <w:pBdr>
          <w:bottom w:val="single" w:sz="12" w:space="4" w:color="2563EB"/>
        </w:pBdr>
      </w:pPr>
      <w:r>
        <w:rPr>
          <w:rFonts w:ascii="Arial" w:hAnsi="Arial"/>
          <w:b/>
          <w:color w:val="1E3A8A"/>
          <w:sz w:val="32"/>
        </w:rPr>
        <w:t>4. OpenRouter: Multi-Model AI Infrastructure &amp; Integration</w:t>
      </w:r>
    </w:p>
    <w:p>
      <w:pPr>
        <w:spacing w:before="0" w:after="120" w:line="276" w:lineRule="auto"/>
      </w:pPr>
      <w:r>
        <w:rPr>
          <w:rFonts w:ascii="Arial" w:hAnsi="Arial"/>
          <w:color w:val="334155"/>
          <w:sz w:val="20"/>
        </w:rPr>
        <w:t>OpenRouter serves as the core unified AI gateway powering PromptDesk and the agentic development pipeline. Instead of managing disparate API keys, divergent SDKs, and inconsistent JSON structures across OpenAI, Anthropic, Google, Meta, and Mistral, OpenRouter provides a single standardized inference gateway.</w:t>
      </w:r>
    </w:p>
    <w:p>
      <w:pPr>
        <w:keepNext/>
        <w:spacing w:before="280" w:after="80"/>
      </w:pPr>
      <w:r>
        <w:rPr>
          <w:rFonts w:ascii="Arial" w:hAnsi="Arial"/>
          <w:b/>
          <w:color w:val="2563EB"/>
          <w:sz w:val="25"/>
        </w:rPr>
        <w:t>4.1 Role of OpenRouter in the Ecosystem</w:t>
      </w:r>
    </w:p>
    <w:p>
      <w:pPr>
        <w:pStyle w:val="ListBullet"/>
        <w:spacing w:before="0" w:after="60" w:line="276" w:lineRule="auto"/>
        <w:ind w:left="360"/>
      </w:pPr>
      <w:r>
        <w:rPr>
          <w:rFonts w:ascii="Arial" w:hAnsi="Arial"/>
          <w:b/>
          <w:color w:val="0F172A"/>
          <w:sz w:val="19"/>
        </w:rPr>
        <w:t xml:space="preserve">Universal API Standardization: </w:t>
      </w:r>
      <w:r>
        <w:rPr>
          <w:rFonts w:ascii="Arial" w:hAnsi="Arial"/>
          <w:color w:val="334155"/>
          <w:sz w:val="19"/>
        </w:rPr>
        <w:t xml:space="preserve"> Single OpenAI-compatible REST endpoint (https://openrouter.ai/api/v1/chat/completions) unifying 200+ state-of-the-art models.</w:t>
      </w:r>
    </w:p>
    <w:p>
      <w:pPr>
        <w:pStyle w:val="ListBullet"/>
        <w:spacing w:before="0" w:after="60" w:line="276" w:lineRule="auto"/>
        <w:ind w:left="360"/>
      </w:pPr>
      <w:r>
        <w:rPr>
          <w:rFonts w:ascii="Arial" w:hAnsi="Arial"/>
          <w:b/>
          <w:color w:val="0F172A"/>
          <w:sz w:val="19"/>
        </w:rPr>
        <w:t xml:space="preserve">Multi-Model Comparative Evaluation: </w:t>
      </w:r>
      <w:r>
        <w:rPr>
          <w:rFonts w:ascii="Arial" w:hAnsi="Arial"/>
          <w:color w:val="334155"/>
          <w:sz w:val="19"/>
        </w:rPr>
        <w:t xml:space="preserve"> Used inside PromptDesk to dispatch identical user prompts across multiple frontier models simultaneously, allowing instant side-by-side benchmarking of output quality, speed, and reasoning depth.</w:t>
      </w:r>
    </w:p>
    <w:p>
      <w:pPr>
        <w:pStyle w:val="ListBullet"/>
        <w:spacing w:before="0" w:after="60" w:line="276" w:lineRule="auto"/>
        <w:ind w:left="360"/>
      </w:pPr>
      <w:r>
        <w:rPr>
          <w:rFonts w:ascii="Arial" w:hAnsi="Arial"/>
          <w:b/>
          <w:color w:val="0F172A"/>
          <w:sz w:val="19"/>
        </w:rPr>
        <w:t xml:space="preserve">Cost &amp; Latency Tracking: </w:t>
      </w:r>
      <w:r>
        <w:rPr>
          <w:rFonts w:ascii="Arial" w:hAnsi="Arial"/>
          <w:color w:val="334155"/>
          <w:sz w:val="19"/>
        </w:rPr>
        <w:t xml:space="preserve"> Transparent visibility into prompt tokens, completion tokens, latency (ms), and cost-per-million tokens across providers.</w:t>
      </w:r>
    </w:p>
    <w:p>
      <w:pPr>
        <w:pStyle w:val="ListBullet"/>
        <w:spacing w:before="0" w:after="60" w:line="276" w:lineRule="auto"/>
        <w:ind w:left="360"/>
      </w:pPr>
      <w:r>
        <w:rPr>
          <w:rFonts w:ascii="Arial" w:hAnsi="Arial"/>
          <w:b/>
          <w:color w:val="0F172A"/>
          <w:sz w:val="19"/>
        </w:rPr>
        <w:t xml:space="preserve">Automated Fallback Routing: </w:t>
      </w:r>
      <w:r>
        <w:rPr>
          <w:rFonts w:ascii="Arial" w:hAnsi="Arial"/>
          <w:color w:val="334155"/>
          <w:sz w:val="19"/>
        </w:rPr>
        <w:t xml:space="preserve"> Automatic failover to secondary providers or quantized model checkpoints if a specific upstream provider experiences outages or rate limits.</w:t>
      </w:r>
    </w:p>
    <w:p>
      <w:pPr>
        <w:keepNext/>
        <w:spacing w:before="280" w:after="80"/>
      </w:pPr>
      <w:r>
        <w:rPr>
          <w:rFonts w:ascii="Arial" w:hAnsi="Arial"/>
          <w:b/>
          <w:color w:val="2563EB"/>
          <w:sz w:val="25"/>
        </w:rPr>
        <w:t>4.2 Frontier Models Evaluated via OpenRouter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2880"/>
            <w:shd w:fill="1E3A8A"/>
            <w:tcMar>
              <w:top w:w="140" w:type="dxa"/>
              <w:bottom w:w="140" w:type="dxa"/>
              <w:left w:w="160" w:type="dxa"/>
              <w:right w:w="160" w:type="dxa"/>
            </w:tcMar>
          </w:tcPr>
          <w:p>
            <w:pPr>
              <w:spacing w:before="0" w:after="0"/>
              <w:jc w:val="left"/>
            </w:pPr>
            <w:r>
              <w:rPr>
                <w:rFonts w:ascii="Arial" w:hAnsi="Arial"/>
                <w:b/>
                <w:color w:val="FFFFFF"/>
                <w:sz w:val="19"/>
              </w:rPr>
              <w:t>Model Name</w:t>
            </w:r>
          </w:p>
        </w:tc>
        <w:tc>
          <w:tcPr>
            <w:tcW w:type="dxa" w:w="3168"/>
            <w:shd w:fill="1E3A8A"/>
            <w:tcMar>
              <w:top w:w="140" w:type="dxa"/>
              <w:bottom w:w="140" w:type="dxa"/>
              <w:left w:w="160" w:type="dxa"/>
              <w:right w:w="160" w:type="dxa"/>
            </w:tcMar>
          </w:tcPr>
          <w:p>
            <w:pPr>
              <w:spacing w:before="0" w:after="0"/>
              <w:jc w:val="left"/>
            </w:pPr>
            <w:r>
              <w:rPr>
                <w:rFonts w:ascii="Arial" w:hAnsi="Arial"/>
                <w:b/>
                <w:color w:val="FFFFFF"/>
                <w:sz w:val="19"/>
              </w:rPr>
              <w:t>OpenRouter Identifier</w:t>
            </w:r>
          </w:p>
        </w:tc>
        <w:tc>
          <w:tcPr>
            <w:tcW w:type="dxa" w:w="3312"/>
            <w:shd w:fill="1E3A8A"/>
            <w:tcMar>
              <w:top w:w="140" w:type="dxa"/>
              <w:bottom w:w="140" w:type="dxa"/>
              <w:left w:w="160" w:type="dxa"/>
              <w:right w:w="160" w:type="dxa"/>
            </w:tcMar>
          </w:tcPr>
          <w:p>
            <w:pPr>
              <w:spacing w:before="0" w:after="0"/>
              <w:jc w:val="left"/>
            </w:pPr>
            <w:r>
              <w:rPr>
                <w:rFonts w:ascii="Arial" w:hAnsi="Arial"/>
                <w:b/>
                <w:color w:val="FFFFFF"/>
                <w:sz w:val="19"/>
              </w:rPr>
              <w:t>Core Capability &amp; Evaluated Use Case</w:t>
            </w:r>
          </w:p>
        </w:tc>
      </w:tr>
      <w:tr>
        <w:tc>
          <w:tcPr>
            <w:tcW w:type="dxa" w:w="2880"/>
            <w:shd w:fill="FFFFFF"/>
            <w:tcMar>
              <w:top w:w="120" w:type="dxa"/>
              <w:bottom w:w="120" w:type="dxa"/>
              <w:left w:w="160" w:type="dxa"/>
              <w:right w:w="160" w:type="dxa"/>
            </w:tcMar>
          </w:tcPr>
          <w:p>
            <w:pPr>
              <w:spacing w:before="0" w:after="0" w:line="276" w:lineRule="auto"/>
              <w:jc w:val="left"/>
            </w:pPr>
            <w:r>
              <w:rPr>
                <w:rFonts w:ascii="Arial" w:hAnsi="Arial"/>
                <w:color w:val="334155"/>
                <w:sz w:val="18"/>
              </w:rPr>
              <w:t>Anthropic Claude 3.5 Sonnet</w:t>
            </w:r>
          </w:p>
        </w:tc>
        <w:tc>
          <w:tcPr>
            <w:tcW w:type="dxa" w:w="3168"/>
            <w:shd w:fill="FFFFFF"/>
            <w:tcMar>
              <w:top w:w="120" w:type="dxa"/>
              <w:bottom w:w="120" w:type="dxa"/>
              <w:left w:w="160" w:type="dxa"/>
              <w:right w:w="160" w:type="dxa"/>
            </w:tcMar>
          </w:tcPr>
          <w:p>
            <w:pPr>
              <w:spacing w:before="0" w:after="0" w:line="276" w:lineRule="auto"/>
              <w:jc w:val="left"/>
            </w:pPr>
            <w:r>
              <w:rPr>
                <w:rFonts w:ascii="Arial" w:hAnsi="Arial"/>
                <w:color w:val="334155"/>
                <w:sz w:val="18"/>
              </w:rPr>
              <w:t>anthropic/claude-3.5-sonnet</w:t>
            </w:r>
          </w:p>
        </w:tc>
        <w:tc>
          <w:tcPr>
            <w:tcW w:type="dxa" w:w="3312"/>
            <w:shd w:fill="FFFFFF"/>
            <w:tcMar>
              <w:top w:w="120" w:type="dxa"/>
              <w:bottom w:w="120" w:type="dxa"/>
              <w:left w:w="160" w:type="dxa"/>
              <w:right w:w="160" w:type="dxa"/>
            </w:tcMar>
          </w:tcPr>
          <w:p>
            <w:pPr>
              <w:spacing w:before="0" w:after="0" w:line="276" w:lineRule="auto"/>
              <w:jc w:val="left"/>
            </w:pPr>
            <w:r>
              <w:rPr>
                <w:rFonts w:ascii="Arial" w:hAnsi="Arial"/>
                <w:color w:val="334155"/>
                <w:sz w:val="18"/>
              </w:rPr>
              <w:t>Superior code generation, architectural analysis, refactoring, and subtle reasoning.</w:t>
            </w:r>
          </w:p>
        </w:tc>
      </w:tr>
      <w:tr>
        <w:tc>
          <w:tcPr>
            <w:tcW w:type="dxa" w:w="2880"/>
            <w:shd w:fill="F8FAFC"/>
            <w:tcMar>
              <w:top w:w="120" w:type="dxa"/>
              <w:bottom w:w="120" w:type="dxa"/>
              <w:left w:w="160" w:type="dxa"/>
              <w:right w:w="160" w:type="dxa"/>
            </w:tcMar>
          </w:tcPr>
          <w:p>
            <w:pPr>
              <w:spacing w:before="0" w:after="0" w:line="276" w:lineRule="auto"/>
              <w:jc w:val="left"/>
            </w:pPr>
            <w:r>
              <w:rPr>
                <w:rFonts w:ascii="Arial" w:hAnsi="Arial"/>
                <w:color w:val="334155"/>
                <w:sz w:val="18"/>
              </w:rPr>
              <w:t>OpenAI GPT-4o / GPT-4o-mini</w:t>
            </w:r>
          </w:p>
        </w:tc>
        <w:tc>
          <w:tcPr>
            <w:tcW w:type="dxa" w:w="3168"/>
            <w:shd w:fill="F8FAFC"/>
            <w:tcMar>
              <w:top w:w="120" w:type="dxa"/>
              <w:bottom w:w="120" w:type="dxa"/>
              <w:left w:w="160" w:type="dxa"/>
              <w:right w:w="160" w:type="dxa"/>
            </w:tcMar>
          </w:tcPr>
          <w:p>
            <w:pPr>
              <w:spacing w:before="0" w:after="0" w:line="276" w:lineRule="auto"/>
              <w:jc w:val="left"/>
            </w:pPr>
            <w:r>
              <w:rPr>
                <w:rFonts w:ascii="Arial" w:hAnsi="Arial"/>
                <w:color w:val="334155"/>
                <w:sz w:val="18"/>
              </w:rPr>
              <w:t>openai/gpt-4o</w:t>
            </w:r>
          </w:p>
        </w:tc>
        <w:tc>
          <w:tcPr>
            <w:tcW w:type="dxa" w:w="3312"/>
            <w:shd w:fill="F8FAFC"/>
            <w:tcMar>
              <w:top w:w="120" w:type="dxa"/>
              <w:bottom w:w="120" w:type="dxa"/>
              <w:left w:w="160" w:type="dxa"/>
              <w:right w:w="160" w:type="dxa"/>
            </w:tcMar>
          </w:tcPr>
          <w:p>
            <w:pPr>
              <w:spacing w:before="0" w:after="0" w:line="276" w:lineRule="auto"/>
              <w:jc w:val="left"/>
            </w:pPr>
            <w:r>
              <w:rPr>
                <w:rFonts w:ascii="Arial" w:hAnsi="Arial"/>
                <w:color w:val="334155"/>
                <w:sz w:val="18"/>
              </w:rPr>
              <w:t>High throughput, structured JSON schema generation, and versatile logic.</w:t>
            </w:r>
          </w:p>
        </w:tc>
      </w:tr>
      <w:tr>
        <w:tc>
          <w:tcPr>
            <w:tcW w:type="dxa" w:w="2880"/>
            <w:shd w:fill="FFFFFF"/>
            <w:tcMar>
              <w:top w:w="120" w:type="dxa"/>
              <w:bottom w:w="120" w:type="dxa"/>
              <w:left w:w="160" w:type="dxa"/>
              <w:right w:w="160" w:type="dxa"/>
            </w:tcMar>
          </w:tcPr>
          <w:p>
            <w:pPr>
              <w:spacing w:before="0" w:after="0" w:line="276" w:lineRule="auto"/>
              <w:jc w:val="left"/>
            </w:pPr>
            <w:r>
              <w:rPr>
                <w:rFonts w:ascii="Arial" w:hAnsi="Arial"/>
                <w:color w:val="334155"/>
                <w:sz w:val="18"/>
              </w:rPr>
              <w:t>Google Gemini 1.5 Pro / Flash</w:t>
            </w:r>
          </w:p>
        </w:tc>
        <w:tc>
          <w:tcPr>
            <w:tcW w:type="dxa" w:w="3168"/>
            <w:shd w:fill="FFFFFF"/>
            <w:tcMar>
              <w:top w:w="120" w:type="dxa"/>
              <w:bottom w:w="120" w:type="dxa"/>
              <w:left w:w="160" w:type="dxa"/>
              <w:right w:w="160" w:type="dxa"/>
            </w:tcMar>
          </w:tcPr>
          <w:p>
            <w:pPr>
              <w:spacing w:before="0" w:after="0" w:line="276" w:lineRule="auto"/>
              <w:jc w:val="left"/>
            </w:pPr>
            <w:r>
              <w:rPr>
                <w:rFonts w:ascii="Arial" w:hAnsi="Arial"/>
                <w:color w:val="334155"/>
                <w:sz w:val="18"/>
              </w:rPr>
              <w:t>google/gemini-pro-1.5</w:t>
            </w:r>
          </w:p>
        </w:tc>
        <w:tc>
          <w:tcPr>
            <w:tcW w:type="dxa" w:w="3312"/>
            <w:shd w:fill="FFFFFF"/>
            <w:tcMar>
              <w:top w:w="120" w:type="dxa"/>
              <w:bottom w:w="120" w:type="dxa"/>
              <w:left w:w="160" w:type="dxa"/>
              <w:right w:w="160" w:type="dxa"/>
            </w:tcMar>
          </w:tcPr>
          <w:p>
            <w:pPr>
              <w:spacing w:before="0" w:after="0" w:line="276" w:lineRule="auto"/>
              <w:jc w:val="left"/>
            </w:pPr>
            <w:r>
              <w:rPr>
                <w:rFonts w:ascii="Arial" w:hAnsi="Arial"/>
                <w:color w:val="334155"/>
                <w:sz w:val="18"/>
              </w:rPr>
              <w:t>Extreme context windows (up to 2M tokens), rapid document parsing, multimodal analysis.</w:t>
            </w:r>
          </w:p>
        </w:tc>
      </w:tr>
      <w:tr>
        <w:tc>
          <w:tcPr>
            <w:tcW w:type="dxa" w:w="2880"/>
            <w:shd w:fill="F8FAFC"/>
            <w:tcMar>
              <w:top w:w="120" w:type="dxa"/>
              <w:bottom w:w="120" w:type="dxa"/>
              <w:left w:w="160" w:type="dxa"/>
              <w:right w:w="160" w:type="dxa"/>
            </w:tcMar>
          </w:tcPr>
          <w:p>
            <w:pPr>
              <w:spacing w:before="0" w:after="0" w:line="276" w:lineRule="auto"/>
              <w:jc w:val="left"/>
            </w:pPr>
            <w:r>
              <w:rPr>
                <w:rFonts w:ascii="Arial" w:hAnsi="Arial"/>
                <w:color w:val="334155"/>
                <w:sz w:val="18"/>
              </w:rPr>
              <w:t>Meta Llama 3.3 70B Instruct</w:t>
            </w:r>
          </w:p>
        </w:tc>
        <w:tc>
          <w:tcPr>
            <w:tcW w:type="dxa" w:w="3168"/>
            <w:shd w:fill="F8FAFC"/>
            <w:tcMar>
              <w:top w:w="120" w:type="dxa"/>
              <w:bottom w:w="120" w:type="dxa"/>
              <w:left w:w="160" w:type="dxa"/>
              <w:right w:w="160" w:type="dxa"/>
            </w:tcMar>
          </w:tcPr>
          <w:p>
            <w:pPr>
              <w:spacing w:before="0" w:after="0" w:line="276" w:lineRule="auto"/>
              <w:jc w:val="left"/>
            </w:pPr>
            <w:r>
              <w:rPr>
                <w:rFonts w:ascii="Arial" w:hAnsi="Arial"/>
                <w:color w:val="334155"/>
                <w:sz w:val="18"/>
              </w:rPr>
              <w:t>meta-llama/llama-3.3-70b-instruct</w:t>
            </w:r>
          </w:p>
        </w:tc>
        <w:tc>
          <w:tcPr>
            <w:tcW w:type="dxa" w:w="3312"/>
            <w:shd w:fill="F8FAFC"/>
            <w:tcMar>
              <w:top w:w="120" w:type="dxa"/>
              <w:bottom w:w="120" w:type="dxa"/>
              <w:left w:w="160" w:type="dxa"/>
              <w:right w:w="160" w:type="dxa"/>
            </w:tcMar>
          </w:tcPr>
          <w:p>
            <w:pPr>
              <w:spacing w:before="0" w:after="0" w:line="276" w:lineRule="auto"/>
              <w:jc w:val="left"/>
            </w:pPr>
            <w:r>
              <w:rPr>
                <w:rFonts w:ascii="Arial" w:hAnsi="Arial"/>
                <w:color w:val="334155"/>
                <w:sz w:val="18"/>
              </w:rPr>
              <w:t>Open-weights standard, cost-effective reasoning, predictable instruction following.</w:t>
            </w:r>
          </w:p>
        </w:tc>
      </w:tr>
      <w:tr>
        <w:tc>
          <w:tcPr>
            <w:tcW w:type="dxa" w:w="2880"/>
            <w:shd w:fill="FFFFFF"/>
            <w:tcMar>
              <w:top w:w="120" w:type="dxa"/>
              <w:bottom w:w="120" w:type="dxa"/>
              <w:left w:w="160" w:type="dxa"/>
              <w:right w:w="160" w:type="dxa"/>
            </w:tcMar>
          </w:tcPr>
          <w:p>
            <w:pPr>
              <w:spacing w:before="0" w:after="0" w:line="276" w:lineRule="auto"/>
              <w:jc w:val="left"/>
            </w:pPr>
            <w:r>
              <w:rPr>
                <w:rFonts w:ascii="Arial" w:hAnsi="Arial"/>
                <w:color w:val="334155"/>
                <w:sz w:val="18"/>
              </w:rPr>
              <w:t>DeepSeek V3 / R1</w:t>
            </w:r>
          </w:p>
        </w:tc>
        <w:tc>
          <w:tcPr>
            <w:tcW w:type="dxa" w:w="3168"/>
            <w:shd w:fill="FFFFFF"/>
            <w:tcMar>
              <w:top w:w="120" w:type="dxa"/>
              <w:bottom w:w="120" w:type="dxa"/>
              <w:left w:w="160" w:type="dxa"/>
              <w:right w:w="160" w:type="dxa"/>
            </w:tcMar>
          </w:tcPr>
          <w:p>
            <w:pPr>
              <w:spacing w:before="0" w:after="0" w:line="276" w:lineRule="auto"/>
              <w:jc w:val="left"/>
            </w:pPr>
            <w:r>
              <w:rPr>
                <w:rFonts w:ascii="Arial" w:hAnsi="Arial"/>
                <w:color w:val="334155"/>
                <w:sz w:val="18"/>
              </w:rPr>
              <w:t>deepseek/deepseek-chat</w:t>
            </w:r>
          </w:p>
        </w:tc>
        <w:tc>
          <w:tcPr>
            <w:tcW w:type="dxa" w:w="3312"/>
            <w:shd w:fill="FFFFFF"/>
            <w:tcMar>
              <w:top w:w="120" w:type="dxa"/>
              <w:bottom w:w="120" w:type="dxa"/>
              <w:left w:w="160" w:type="dxa"/>
              <w:right w:w="160" w:type="dxa"/>
            </w:tcMar>
          </w:tcPr>
          <w:p>
            <w:pPr>
              <w:spacing w:before="0" w:after="0" w:line="276" w:lineRule="auto"/>
              <w:jc w:val="left"/>
            </w:pPr>
            <w:r>
              <w:rPr>
                <w:rFonts w:ascii="Arial" w:hAnsi="Arial"/>
                <w:color w:val="334155"/>
                <w:sz w:val="18"/>
              </w:rPr>
              <w:t>Advanced mathematical reasoning, code synthesis, and competitive token economics.</w:t>
            </w:r>
          </w:p>
        </w:tc>
      </w:tr>
      <w:tr>
        <w:tc>
          <w:tcPr>
            <w:tcW w:type="dxa" w:w="2880"/>
            <w:shd w:fill="F8FAFC"/>
            <w:tcMar>
              <w:top w:w="120" w:type="dxa"/>
              <w:bottom w:w="120" w:type="dxa"/>
              <w:left w:w="160" w:type="dxa"/>
              <w:right w:w="160" w:type="dxa"/>
            </w:tcMar>
          </w:tcPr>
          <w:p>
            <w:pPr>
              <w:spacing w:before="0" w:after="0" w:line="276" w:lineRule="auto"/>
              <w:jc w:val="left"/>
            </w:pPr>
            <w:r>
              <w:rPr>
                <w:rFonts w:ascii="Arial" w:hAnsi="Arial"/>
                <w:color w:val="334155"/>
                <w:sz w:val="18"/>
              </w:rPr>
              <w:t>Mistral Large 2</w:t>
            </w:r>
          </w:p>
        </w:tc>
        <w:tc>
          <w:tcPr>
            <w:tcW w:type="dxa" w:w="3168"/>
            <w:shd w:fill="F8FAFC"/>
            <w:tcMar>
              <w:top w:w="120" w:type="dxa"/>
              <w:bottom w:w="120" w:type="dxa"/>
              <w:left w:w="160" w:type="dxa"/>
              <w:right w:w="160" w:type="dxa"/>
            </w:tcMar>
          </w:tcPr>
          <w:p>
            <w:pPr>
              <w:spacing w:before="0" w:after="0" w:line="276" w:lineRule="auto"/>
              <w:jc w:val="left"/>
            </w:pPr>
            <w:r>
              <w:rPr>
                <w:rFonts w:ascii="Arial" w:hAnsi="Arial"/>
                <w:color w:val="334155"/>
                <w:sz w:val="18"/>
              </w:rPr>
              <w:t>mistralai/mistral-large</w:t>
            </w:r>
          </w:p>
        </w:tc>
        <w:tc>
          <w:tcPr>
            <w:tcW w:type="dxa" w:w="3312"/>
            <w:shd w:fill="F8FAFC"/>
            <w:tcMar>
              <w:top w:w="120" w:type="dxa"/>
              <w:bottom w:w="120" w:type="dxa"/>
              <w:left w:w="160" w:type="dxa"/>
              <w:right w:w="160" w:type="dxa"/>
            </w:tcMar>
          </w:tcPr>
          <w:p>
            <w:pPr>
              <w:spacing w:before="0" w:after="0" w:line="276" w:lineRule="auto"/>
              <w:jc w:val="left"/>
            </w:pPr>
            <w:r>
              <w:rPr>
                <w:rFonts w:ascii="Arial" w:hAnsi="Arial"/>
                <w:color w:val="334155"/>
                <w:sz w:val="18"/>
              </w:rPr>
              <w:t>Multilingual fluency, strict prompt instruction adherence, and concise synthesis.</w:t>
            </w:r>
          </w:p>
        </w:tc>
      </w:tr>
    </w:tbl>
    <w:p>
      <w:pPr>
        <w:spacing w:before="0" w:after="120"/>
      </w:pPr>
    </w:p>
    <w:p>
      <w:pPr>
        <w:keepNext/>
        <w:spacing w:before="280" w:after="80"/>
      </w:pPr>
      <w:r>
        <w:rPr>
          <w:rFonts w:ascii="Arial" w:hAnsi="Arial"/>
          <w:b/>
          <w:color w:val="2563EB"/>
          <w:sz w:val="25"/>
        </w:rPr>
        <w:t>4.3 OpenRouter Integration Architecture (PromptDesk)</w:t>
      </w:r>
    </w:p>
    <w:p>
      <w:pPr>
        <w:spacing w:before="0" w:after="120" w:line="276" w:lineRule="auto"/>
      </w:pPr>
      <w:r>
        <w:rPr>
          <w:rFonts w:ascii="Arial" w:hAnsi="Arial"/>
          <w:color w:val="334155"/>
          <w:sz w:val="20"/>
        </w:rPr>
        <w:t>PromptDesk interfaces with OpenRouter via authenticated HTTPS POST requests. Below is the architectural specification of the integration contract:</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2563EB"/>
              <w:bottom w:val="none"/>
              <w:right w:val="none"/>
            </w:tcBorders>
          </w:tcPr>
          <w:p>
            <w:pPr>
              <w:spacing w:before="40" w:after="40" w:line="276" w:lineRule="auto"/>
            </w:pPr>
            <w:r>
              <w:rPr>
                <w:rFonts w:ascii="Arial" w:hAnsi="Arial"/>
                <w:b/>
                <w:color w:val="1E3A8A"/>
                <w:sz w:val="21"/>
              </w:rPr>
              <w:t>OPENROUTER STANDARDIZED API PAYLOAD SPECIFICATION</w:t>
              <w:br/>
            </w:r>
            <w:r>
              <w:rPr>
                <w:rFonts w:ascii="Arial" w:hAnsi="Arial"/>
                <w:color w:val="0F172A"/>
                <w:sz w:val="19"/>
              </w:rPr>
              <w:t>POST https://openrouter.ai/api/v1/chat/completions</w:t>
              <w:br/>
              <w:t>Headers:</w:t>
              <w:br/>
              <w:t xml:space="preserve">  Authorization: Bearer &lt;OPENROUTER_API_KEY&gt;</w:t>
              <w:br/>
              <w:t xml:space="preserve">  HTTP-Referer: https://prompt-desk-theta.vercel.app/</w:t>
              <w:br/>
              <w:t xml:space="preserve">  X-Title: PromptDesk Engineering Suite</w:t>
              <w:br/>
              <w:t>Payload:</w:t>
              <w:br/>
              <w:t xml:space="preserve">  {</w:t>
              <w:br/>
              <w:t xml:space="preserve">    "model": "anthropic/claude-3.5-sonnet",</w:t>
              <w:br/>
              <w:t xml:space="preserve">    "messages": [</w:t>
              <w:br/>
              <w:t xml:space="preserve">      {"role": "system", "content": "You are an expert full-stack evaluator."},</w:t>
              <w:br/>
              <w:t xml:space="preserve">      {"role": "user", "content": "Audit this URL parser for edge cases..."}</w:t>
              <w:br/>
              <w:t xml:space="preserve">    ],</w:t>
              <w:br/>
              <w:t xml:space="preserve">    "temperature": 0.2,</w:t>
              <w:br/>
              <w:t xml:space="preserve">    "max_tokens": 2000,</w:t>
              <w:br/>
              <w:t xml:space="preserve">    "response_format": {"type": "json_object"}</w:t>
              <w:br/>
              <w:t xml:space="preserve">  }</w:t>
            </w:r>
          </w:p>
        </w:tc>
      </w:tr>
    </w:tbl>
    <w:p>
      <w:pPr>
        <w:spacing w:before="0" w:after="80"/>
      </w:pPr>
    </w:p>
    <w:p>
      <w:pPr>
        <w:keepNext/>
        <w:spacing w:before="280" w:after="80"/>
      </w:pPr>
      <w:r>
        <w:rPr>
          <w:rFonts w:ascii="Arial" w:hAnsi="Arial"/>
          <w:b/>
          <w:color w:val="2563EB"/>
          <w:sz w:val="25"/>
        </w:rPr>
        <w:t>4.4 Agentic Pair Programming with Google Antigravity</w:t>
      </w:r>
    </w:p>
    <w:p>
      <w:pPr>
        <w:spacing w:before="0" w:after="120" w:line="276" w:lineRule="auto"/>
      </w:pPr>
      <w:r>
        <w:rPr>
          <w:rFonts w:ascii="Arial" w:hAnsi="Arial"/>
          <w:color w:val="334155"/>
          <w:sz w:val="20"/>
        </w:rPr>
        <w:t>Throughout this project, Google Antigravity (Google DeepMind's AI Agentic Pair Programming Assistant) was utilized as an autonomous development partner. Operating directly on the local workspace, Antigravity handled:</w:t>
      </w:r>
    </w:p>
    <w:p>
      <w:pPr>
        <w:pStyle w:val="ListBullet"/>
        <w:spacing w:before="0" w:after="60" w:line="276" w:lineRule="auto"/>
        <w:ind w:left="360"/>
      </w:pPr>
      <w:r>
        <w:rPr>
          <w:rFonts w:ascii="Arial" w:hAnsi="Arial"/>
          <w:b/>
          <w:color w:val="0F172A"/>
          <w:sz w:val="19"/>
        </w:rPr>
        <w:t xml:space="preserve">1. Component Generation: </w:t>
      </w:r>
      <w:r>
        <w:rPr>
          <w:rFonts w:ascii="Arial" w:hAnsi="Arial"/>
          <w:color w:val="334155"/>
          <w:sz w:val="19"/>
        </w:rPr>
        <w:t xml:space="preserve"> Rapidly scaffolding complex React UI components, pastel styling tokens, and floating graphics.</w:t>
      </w:r>
    </w:p>
    <w:p>
      <w:pPr>
        <w:pStyle w:val="ListBullet"/>
        <w:spacing w:before="0" w:after="60" w:line="276" w:lineRule="auto"/>
        <w:ind w:left="360"/>
      </w:pPr>
      <w:r>
        <w:rPr>
          <w:rFonts w:ascii="Arial" w:hAnsi="Arial"/>
          <w:b/>
          <w:color w:val="0F172A"/>
          <w:sz w:val="19"/>
        </w:rPr>
        <w:t xml:space="preserve">2. Automated Troubleshooting: </w:t>
      </w:r>
      <w:r>
        <w:rPr>
          <w:rFonts w:ascii="Arial" w:hAnsi="Arial"/>
          <w:color w:val="334155"/>
          <w:sz w:val="19"/>
        </w:rPr>
        <w:t xml:space="preserve"> Diagnosing the serverless module isolation failure, reviewing runtime logs, and executing the inlined bundling refactor.</w:t>
      </w:r>
    </w:p>
    <w:p>
      <w:pPr>
        <w:pStyle w:val="ListBullet"/>
        <w:spacing w:before="0" w:after="60" w:line="276" w:lineRule="auto"/>
        <w:ind w:left="360"/>
      </w:pPr>
      <w:r>
        <w:rPr>
          <w:rFonts w:ascii="Arial" w:hAnsi="Arial"/>
          <w:b/>
          <w:color w:val="0F172A"/>
          <w:sz w:val="19"/>
        </w:rPr>
        <w:t xml:space="preserve">3. Test Suite Generation: </w:t>
      </w:r>
      <w:r>
        <w:rPr>
          <w:rFonts w:ascii="Arial" w:hAnsi="Arial"/>
          <w:color w:val="334155"/>
          <w:sz w:val="19"/>
        </w:rPr>
        <w:t xml:space="preserve"> Authoring Vitest suites with exhaustive boundary testing (happy path, null input, missing tags, empty alt strings).</w:t>
      </w:r>
    </w:p>
    <w:p>
      <w:pPr>
        <w:pStyle w:val="ListBullet"/>
        <w:spacing w:before="0" w:after="60" w:line="276" w:lineRule="auto"/>
        <w:ind w:left="360"/>
      </w:pPr>
      <w:r>
        <w:rPr>
          <w:rFonts w:ascii="Arial" w:hAnsi="Arial"/>
          <w:b/>
          <w:color w:val="0F172A"/>
          <w:sz w:val="19"/>
        </w:rPr>
        <w:t xml:space="preserve">4. Deployment Orchestration: </w:t>
      </w:r>
      <w:r>
        <w:rPr>
          <w:rFonts w:ascii="Arial" w:hAnsi="Arial"/>
          <w:color w:val="334155"/>
          <w:sz w:val="19"/>
        </w:rPr>
        <w:t xml:space="preserve"> Managing Git staging, branch rebasing, Vercel production deployment triggers, and GitHub Pages CI workflows.</w:t>
      </w:r>
    </w:p>
    <w:p>
      <w:pPr>
        <w:keepNext/>
        <w:spacing w:before="360" w:after="120"/>
        <w:pBdr>
          <w:bottom w:val="single" w:sz="12" w:space="4" w:color="2563EB"/>
        </w:pBdr>
      </w:pPr>
      <w:r>
        <w:rPr>
          <w:rFonts w:ascii="Arial" w:hAnsi="Arial"/>
          <w:b/>
          <w:color w:val="1E3A8A"/>
          <w:sz w:val="32"/>
        </w:rPr>
        <w:t>5. Testing, Quality Assurance &amp; CI/CD Pipelines</w:t>
      </w:r>
    </w:p>
    <w:p>
      <w:pPr>
        <w:spacing w:before="0" w:after="120" w:line="276" w:lineRule="auto"/>
      </w:pPr>
      <w:r>
        <w:rPr>
          <w:rFonts w:ascii="Arial" w:hAnsi="Arial"/>
          <w:color w:val="334155"/>
          <w:sz w:val="20"/>
        </w:rPr>
        <w:t>Defensibility and correctness are core scoring criteria for the Digital Heroes qualification. The project incorporates automated unit testing and dual-channel continuous deployment pipelines.</w:t>
      </w:r>
    </w:p>
    <w:p>
      <w:pPr>
        <w:keepNext/>
        <w:spacing w:before="280" w:after="80"/>
      </w:pPr>
      <w:r>
        <w:rPr>
          <w:rFonts w:ascii="Arial" w:hAnsi="Arial"/>
          <w:b/>
          <w:color w:val="2563EB"/>
          <w:sz w:val="25"/>
        </w:rPr>
        <w:t>5.1 Unit Testing Suite (Vitest)</w:t>
      </w:r>
    </w:p>
    <w:p>
      <w:pPr>
        <w:spacing w:before="0" w:after="120" w:line="276" w:lineRule="auto"/>
      </w:pPr>
      <w:r>
        <w:rPr>
          <w:rFonts w:ascii="Arial" w:hAnsi="Arial"/>
          <w:color w:val="334155"/>
          <w:sz w:val="20"/>
        </w:rPr>
        <w:t>The parsing engine is thoroughly tested in src/utils/parser.test.ts using Vitest:</w:t>
      </w:r>
    </w:p>
    <w:p>
      <w:pPr>
        <w:pStyle w:val="ListBullet"/>
        <w:spacing w:before="0" w:after="60" w:line="276" w:lineRule="auto"/>
        <w:ind w:left="360"/>
      </w:pPr>
      <w:r>
        <w:rPr>
          <w:rFonts w:ascii="Arial" w:hAnsi="Arial"/>
          <w:b/>
          <w:color w:val="0F172A"/>
          <w:sz w:val="19"/>
        </w:rPr>
        <w:t xml:space="preserve">Test 1 — Happy Path: </w:t>
      </w:r>
      <w:r>
        <w:rPr>
          <w:rFonts w:ascii="Arial" w:hAnsi="Arial"/>
          <w:color w:val="334155"/>
          <w:sz w:val="19"/>
        </w:rPr>
        <w:t xml:space="preserve"> Validates extraction against a full HTML document with complete title, description, H1 tags, valid images, and paragraph text. Confirms exact numerical counts.</w:t>
      </w:r>
    </w:p>
    <w:p>
      <w:pPr>
        <w:pStyle w:val="ListBullet"/>
        <w:spacing w:before="0" w:after="60" w:line="276" w:lineRule="auto"/>
        <w:ind w:left="360"/>
      </w:pPr>
      <w:r>
        <w:rPr>
          <w:rFonts w:ascii="Arial" w:hAnsi="Arial"/>
          <w:b/>
          <w:color w:val="0F172A"/>
          <w:sz w:val="19"/>
        </w:rPr>
        <w:t xml:space="preserve">Test 2 — Empty &amp; Malformed Input: </w:t>
      </w:r>
      <w:r>
        <w:rPr>
          <w:rFonts w:ascii="Arial" w:hAnsi="Arial"/>
          <w:color w:val="334155"/>
          <w:sz w:val="19"/>
        </w:rPr>
        <w:t xml:space="preserve"> Verifies that passing null, undefined, empty strings, or malformed non-HTML text never throws an unhandled exception and yields safe default metrics.</w:t>
      </w:r>
    </w:p>
    <w:p>
      <w:pPr>
        <w:pStyle w:val="ListBullet"/>
        <w:spacing w:before="0" w:after="60" w:line="276" w:lineRule="auto"/>
        <w:ind w:left="360"/>
      </w:pPr>
      <w:r>
        <w:rPr>
          <w:rFonts w:ascii="Arial" w:hAnsi="Arial"/>
          <w:b/>
          <w:color w:val="0F172A"/>
          <w:sz w:val="19"/>
        </w:rPr>
        <w:t xml:space="preserve">Test 3 — Missing Tags Fallback: </w:t>
      </w:r>
      <w:r>
        <w:rPr>
          <w:rFonts w:ascii="Arial" w:hAnsi="Arial"/>
          <w:color w:val="334155"/>
          <w:sz w:val="19"/>
        </w:rPr>
        <w:t xml:space="preserve"> Tests documents lacking &lt;title&gt;, meta descriptions, and H1 elements. Validates fallback strings and zeroed counters.</w:t>
      </w:r>
    </w:p>
    <w:p>
      <w:pPr>
        <w:pStyle w:val="ListBullet"/>
        <w:spacing w:before="0" w:after="60" w:line="276" w:lineRule="auto"/>
        <w:ind w:left="360"/>
      </w:pPr>
      <w:r>
        <w:rPr>
          <w:rFonts w:ascii="Arial" w:hAnsi="Arial"/>
          <w:b/>
          <w:color w:val="0F172A"/>
          <w:sz w:val="19"/>
        </w:rPr>
        <w:t xml:space="preserve">Test 4 — Accessibility Alt-Text Logic: </w:t>
      </w:r>
      <w:r>
        <w:rPr>
          <w:rFonts w:ascii="Arial" w:hAnsi="Arial"/>
          <w:color w:val="334155"/>
          <w:sz w:val="19"/>
        </w:rPr>
        <w:t xml:space="preserve"> Tests multiple &lt;img&gt; elements with missing alt attributes, whitespace-only alt attributes, and valid alt attributes to ensure zero false positives.</w:t>
      </w:r>
    </w:p>
    <w:p>
      <w:pPr>
        <w:keepNext/>
        <w:spacing w:before="280" w:after="80"/>
      </w:pPr>
      <w:r>
        <w:rPr>
          <w:rFonts w:ascii="Arial" w:hAnsi="Arial"/>
          <w:b/>
          <w:color w:val="2563EB"/>
          <w:sz w:val="25"/>
        </w:rPr>
        <w:t>5.2 Dual Deployment Strategy</w:t>
      </w:r>
    </w:p>
    <w:p>
      <w:pPr>
        <w:pStyle w:val="ListBullet"/>
        <w:spacing w:before="0" w:after="60" w:line="276" w:lineRule="auto"/>
        <w:ind w:left="360"/>
      </w:pPr>
      <w:r>
        <w:rPr>
          <w:rFonts w:ascii="Arial" w:hAnsi="Arial"/>
          <w:b/>
          <w:color w:val="0F172A"/>
          <w:sz w:val="19"/>
        </w:rPr>
        <w:t xml:space="preserve">GitHub Actions (CI/CD): </w:t>
      </w:r>
      <w:r>
        <w:rPr>
          <w:rFonts w:ascii="Arial" w:hAnsi="Arial"/>
          <w:color w:val="334155"/>
          <w:sz w:val="19"/>
        </w:rPr>
        <w:t xml:space="preserve"> Configured via .github/workflows/deploy.yml. Automatically runs test suites, executes production builds, and pushes compiled static bundles to the gh-pages branch on every push to main.</w:t>
      </w:r>
    </w:p>
    <w:p>
      <w:pPr>
        <w:pStyle w:val="ListBullet"/>
        <w:spacing w:before="0" w:after="60" w:line="276" w:lineRule="auto"/>
        <w:ind w:left="360"/>
      </w:pPr>
      <w:r>
        <w:rPr>
          <w:rFonts w:ascii="Arial" w:hAnsi="Arial"/>
          <w:b/>
          <w:color w:val="0F172A"/>
          <w:sz w:val="19"/>
        </w:rPr>
        <w:t xml:space="preserve">Vercel Production Deployment: </w:t>
      </w:r>
      <w:r>
        <w:rPr>
          <w:rFonts w:ascii="Arial" w:hAnsi="Arial"/>
          <w:color w:val="334155"/>
          <w:sz w:val="19"/>
        </w:rPr>
        <w:t xml:space="preserve"> Hosts the live production application and serverless functions at https://digitalhero-six.vercel.app/. Native Git integration triggers preview and production builds with atomic rollback support.</w:t>
      </w:r>
    </w:p>
    <w:p>
      <w:pPr>
        <w:keepNext/>
        <w:spacing w:before="360" w:after="120"/>
        <w:pBdr>
          <w:bottom w:val="single" w:sz="12" w:space="4" w:color="2563EB"/>
        </w:pBdr>
      </w:pPr>
      <w:r>
        <w:rPr>
          <w:rFonts w:ascii="Arial" w:hAnsi="Arial"/>
          <w:b/>
          <w:color w:val="1E3A8A"/>
          <w:sz w:val="32"/>
        </w:rPr>
        <w:t>6. End-to-End Architectural Data Flows</w:t>
      </w:r>
    </w:p>
    <w:p>
      <w:pPr>
        <w:keepNext/>
        <w:spacing w:before="280" w:after="80"/>
      </w:pPr>
      <w:r>
        <w:rPr>
          <w:rFonts w:ascii="Arial" w:hAnsi="Arial"/>
          <w:b/>
          <w:color w:val="2563EB"/>
          <w:sz w:val="25"/>
        </w:rPr>
        <w:t>6.1 URL Audit Request Lifecycle (Page Pulse)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2160"/>
            <w:shd w:fill="1E3A8A"/>
            <w:tcMar>
              <w:top w:w="140" w:type="dxa"/>
              <w:bottom w:w="140" w:type="dxa"/>
              <w:left w:w="160" w:type="dxa"/>
              <w:right w:w="160" w:type="dxa"/>
            </w:tcMar>
          </w:tcPr>
          <w:p>
            <w:pPr>
              <w:spacing w:before="0" w:after="0"/>
              <w:jc w:val="left"/>
            </w:pPr>
            <w:r>
              <w:rPr>
                <w:rFonts w:ascii="Arial" w:hAnsi="Arial"/>
                <w:b/>
                <w:color w:val="FFFFFF"/>
                <w:sz w:val="19"/>
              </w:rPr>
              <w:t>Step</w:t>
            </w:r>
          </w:p>
        </w:tc>
        <w:tc>
          <w:tcPr>
            <w:tcW w:type="dxa" w:w="3168"/>
            <w:shd w:fill="1E3A8A"/>
            <w:tcMar>
              <w:top w:w="140" w:type="dxa"/>
              <w:bottom w:w="140" w:type="dxa"/>
              <w:left w:w="160" w:type="dxa"/>
              <w:right w:w="160" w:type="dxa"/>
            </w:tcMar>
          </w:tcPr>
          <w:p>
            <w:pPr>
              <w:spacing w:before="0" w:after="0"/>
              <w:jc w:val="left"/>
            </w:pPr>
            <w:r>
              <w:rPr>
                <w:rFonts w:ascii="Arial" w:hAnsi="Arial"/>
                <w:b/>
                <w:color w:val="FFFFFF"/>
                <w:sz w:val="19"/>
              </w:rPr>
              <w:t>Component / Layer</w:t>
            </w:r>
          </w:p>
        </w:tc>
        <w:tc>
          <w:tcPr>
            <w:tcW w:type="dxa" w:w="4032"/>
            <w:shd w:fill="1E3A8A"/>
            <w:tcMar>
              <w:top w:w="140" w:type="dxa"/>
              <w:bottom w:w="140" w:type="dxa"/>
              <w:left w:w="160" w:type="dxa"/>
              <w:right w:w="160" w:type="dxa"/>
            </w:tcMar>
          </w:tcPr>
          <w:p>
            <w:pPr>
              <w:spacing w:before="0" w:after="0"/>
              <w:jc w:val="left"/>
            </w:pPr>
            <w:r>
              <w:rPr>
                <w:rFonts w:ascii="Arial" w:hAnsi="Arial"/>
                <w:b/>
                <w:color w:val="FFFFFF"/>
                <w:sz w:val="19"/>
              </w:rPr>
              <w:t>Action &amp; Architectural Responsibility</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1. User Request</w:t>
            </w:r>
          </w:p>
        </w:tc>
        <w:tc>
          <w:tcPr>
            <w:tcW w:type="dxa" w:w="3168"/>
            <w:shd w:fill="FFFFFF"/>
            <w:tcMar>
              <w:top w:w="120" w:type="dxa"/>
              <w:bottom w:w="120" w:type="dxa"/>
              <w:left w:w="160" w:type="dxa"/>
              <w:right w:w="160" w:type="dxa"/>
            </w:tcMar>
          </w:tcPr>
          <w:p>
            <w:pPr>
              <w:spacing w:before="0" w:after="0" w:line="276" w:lineRule="auto"/>
              <w:jc w:val="left"/>
            </w:pPr>
            <w:r>
              <w:rPr>
                <w:rFonts w:ascii="Arial" w:hAnsi="Arial"/>
                <w:color w:val="334155"/>
                <w:sz w:val="18"/>
              </w:rPr>
              <w:t>Client UI (Landing.tsx)</w:t>
            </w:r>
          </w:p>
        </w:tc>
        <w:tc>
          <w:tcPr>
            <w:tcW w:type="dxa" w:w="4032"/>
            <w:shd w:fill="FFFFFF"/>
            <w:tcMar>
              <w:top w:w="120" w:type="dxa"/>
              <w:bottom w:w="120" w:type="dxa"/>
              <w:left w:w="160" w:type="dxa"/>
              <w:right w:w="160" w:type="dxa"/>
            </w:tcMar>
          </w:tcPr>
          <w:p>
            <w:pPr>
              <w:spacing w:before="0" w:after="0" w:line="276" w:lineRule="auto"/>
              <w:jc w:val="left"/>
            </w:pPr>
            <w:r>
              <w:rPr>
                <w:rFonts w:ascii="Arial" w:hAnsi="Arial"/>
                <w:color w:val="334155"/>
                <w:sz w:val="18"/>
              </w:rPr>
              <w:t>User inputs URL; frontend validates schema and triggers loading animation.</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2. API Dispatch</w:t>
            </w:r>
          </w:p>
        </w:tc>
        <w:tc>
          <w:tcPr>
            <w:tcW w:type="dxa" w:w="3168"/>
            <w:shd w:fill="F8FAFC"/>
            <w:tcMar>
              <w:top w:w="120" w:type="dxa"/>
              <w:bottom w:w="120" w:type="dxa"/>
              <w:left w:w="160" w:type="dxa"/>
              <w:right w:w="160" w:type="dxa"/>
            </w:tcMar>
          </w:tcPr>
          <w:p>
            <w:pPr>
              <w:spacing w:before="0" w:after="0" w:line="276" w:lineRule="auto"/>
              <w:jc w:val="left"/>
            </w:pPr>
            <w:r>
              <w:rPr>
                <w:rFonts w:ascii="Arial" w:hAnsi="Arial"/>
                <w:color w:val="334155"/>
                <w:sz w:val="18"/>
              </w:rPr>
              <w:t>HTTP Fetch Request</w:t>
            </w:r>
          </w:p>
        </w:tc>
        <w:tc>
          <w:tcPr>
            <w:tcW w:type="dxa" w:w="4032"/>
            <w:shd w:fill="F8FAFC"/>
            <w:tcMar>
              <w:top w:w="120" w:type="dxa"/>
              <w:bottom w:w="120" w:type="dxa"/>
              <w:left w:w="160" w:type="dxa"/>
              <w:right w:w="160" w:type="dxa"/>
            </w:tcMar>
          </w:tcPr>
          <w:p>
            <w:pPr>
              <w:spacing w:before="0" w:after="0" w:line="276" w:lineRule="auto"/>
              <w:jc w:val="left"/>
            </w:pPr>
            <w:r>
              <w:rPr>
                <w:rFonts w:ascii="Arial" w:hAnsi="Arial"/>
                <w:color w:val="334155"/>
                <w:sz w:val="18"/>
              </w:rPr>
              <w:t>Client issues GET /api/audit?url=https://target.com to Vercel Serverless Function.</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3. Network Fetch</w:t>
            </w:r>
          </w:p>
        </w:tc>
        <w:tc>
          <w:tcPr>
            <w:tcW w:type="dxa" w:w="3168"/>
            <w:shd w:fill="FFFFFF"/>
            <w:tcMar>
              <w:top w:w="120" w:type="dxa"/>
              <w:bottom w:w="120" w:type="dxa"/>
              <w:left w:w="160" w:type="dxa"/>
              <w:right w:w="160" w:type="dxa"/>
            </w:tcMar>
          </w:tcPr>
          <w:p>
            <w:pPr>
              <w:spacing w:before="0" w:after="0" w:line="276" w:lineRule="auto"/>
              <w:jc w:val="left"/>
            </w:pPr>
            <w:r>
              <w:rPr>
                <w:rFonts w:ascii="Arial" w:hAnsi="Arial"/>
                <w:color w:val="334155"/>
                <w:sz w:val="18"/>
              </w:rPr>
              <w:t>Node Fetch + AbortController</w:t>
            </w:r>
          </w:p>
        </w:tc>
        <w:tc>
          <w:tcPr>
            <w:tcW w:type="dxa" w:w="4032"/>
            <w:shd w:fill="FFFFFF"/>
            <w:tcMar>
              <w:top w:w="120" w:type="dxa"/>
              <w:bottom w:w="120" w:type="dxa"/>
              <w:left w:w="160" w:type="dxa"/>
              <w:right w:w="160" w:type="dxa"/>
            </w:tcMar>
          </w:tcPr>
          <w:p>
            <w:pPr>
              <w:spacing w:before="0" w:after="0" w:line="276" w:lineRule="auto"/>
              <w:jc w:val="left"/>
            </w:pPr>
            <w:r>
              <w:rPr>
                <w:rFonts w:ascii="Arial" w:hAnsi="Arial"/>
                <w:color w:val="334155"/>
                <w:sz w:val="18"/>
              </w:rPr>
              <w:t>Serverless runtime initializes 8-second timer and fetches target page HTML.</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4. Content Guard</w:t>
            </w:r>
          </w:p>
        </w:tc>
        <w:tc>
          <w:tcPr>
            <w:tcW w:type="dxa" w:w="3168"/>
            <w:shd w:fill="F8FAFC"/>
            <w:tcMar>
              <w:top w:w="120" w:type="dxa"/>
              <w:bottom w:w="120" w:type="dxa"/>
              <w:left w:w="160" w:type="dxa"/>
              <w:right w:w="160" w:type="dxa"/>
            </w:tcMar>
          </w:tcPr>
          <w:p>
            <w:pPr>
              <w:spacing w:before="0" w:after="0" w:line="276" w:lineRule="auto"/>
              <w:jc w:val="left"/>
            </w:pPr>
            <w:r>
              <w:rPr>
                <w:rFonts w:ascii="Arial" w:hAnsi="Arial"/>
                <w:color w:val="334155"/>
                <w:sz w:val="18"/>
              </w:rPr>
              <w:t>MIME Header Inspection</w:t>
            </w:r>
          </w:p>
        </w:tc>
        <w:tc>
          <w:tcPr>
            <w:tcW w:type="dxa" w:w="4032"/>
            <w:shd w:fill="F8FAFC"/>
            <w:tcMar>
              <w:top w:w="120" w:type="dxa"/>
              <w:bottom w:w="120" w:type="dxa"/>
              <w:left w:w="160" w:type="dxa"/>
              <w:right w:w="160" w:type="dxa"/>
            </w:tcMar>
          </w:tcPr>
          <w:p>
            <w:pPr>
              <w:spacing w:before="0" w:after="0" w:line="276" w:lineRule="auto"/>
              <w:jc w:val="left"/>
            </w:pPr>
            <w:r>
              <w:rPr>
                <w:rFonts w:ascii="Arial" w:hAnsi="Arial"/>
                <w:color w:val="334155"/>
                <w:sz w:val="18"/>
              </w:rPr>
              <w:t>Verifies Content-Type is text/html; rejects binaries or PDFs with HTTP 400.</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5. DOM Extraction</w:t>
            </w:r>
          </w:p>
        </w:tc>
        <w:tc>
          <w:tcPr>
            <w:tcW w:type="dxa" w:w="3168"/>
            <w:shd w:fill="FFFFFF"/>
            <w:tcMar>
              <w:top w:w="120" w:type="dxa"/>
              <w:bottom w:w="120" w:type="dxa"/>
              <w:left w:w="160" w:type="dxa"/>
              <w:right w:w="160" w:type="dxa"/>
            </w:tcMar>
          </w:tcPr>
          <w:p>
            <w:pPr>
              <w:spacing w:before="0" w:after="0" w:line="276" w:lineRule="auto"/>
              <w:jc w:val="left"/>
            </w:pPr>
            <w:r>
              <w:rPr>
                <w:rFonts w:ascii="Arial" w:hAnsi="Arial"/>
                <w:color w:val="334155"/>
                <w:sz w:val="18"/>
              </w:rPr>
              <w:t>Cheerio Parsing Engine</w:t>
            </w:r>
          </w:p>
        </w:tc>
        <w:tc>
          <w:tcPr>
            <w:tcW w:type="dxa" w:w="4032"/>
            <w:shd w:fill="FFFFFF"/>
            <w:tcMar>
              <w:top w:w="120" w:type="dxa"/>
              <w:bottom w:w="120" w:type="dxa"/>
              <w:left w:w="160" w:type="dxa"/>
              <w:right w:w="160" w:type="dxa"/>
            </w:tcMar>
          </w:tcPr>
          <w:p>
            <w:pPr>
              <w:spacing w:before="0" w:after="0" w:line="276" w:lineRule="auto"/>
              <w:jc w:val="left"/>
            </w:pPr>
            <w:r>
              <w:rPr>
                <w:rFonts w:ascii="Arial" w:hAnsi="Arial"/>
                <w:color w:val="334155"/>
                <w:sz w:val="18"/>
              </w:rPr>
              <w:t>Strips non-content tags, extracts title, meta, H1, alt tags, and counts words.</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6. JSON Response</w:t>
            </w:r>
          </w:p>
        </w:tc>
        <w:tc>
          <w:tcPr>
            <w:tcW w:type="dxa" w:w="3168"/>
            <w:shd w:fill="F8FAFC"/>
            <w:tcMar>
              <w:top w:w="120" w:type="dxa"/>
              <w:bottom w:w="120" w:type="dxa"/>
              <w:left w:w="160" w:type="dxa"/>
              <w:right w:w="160" w:type="dxa"/>
            </w:tcMar>
          </w:tcPr>
          <w:p>
            <w:pPr>
              <w:spacing w:before="0" w:after="0" w:line="276" w:lineRule="auto"/>
              <w:jc w:val="left"/>
            </w:pPr>
            <w:r>
              <w:rPr>
                <w:rFonts w:ascii="Arial" w:hAnsi="Arial"/>
                <w:color w:val="334155"/>
                <w:sz w:val="18"/>
              </w:rPr>
              <w:t>API Output Channel</w:t>
            </w:r>
          </w:p>
        </w:tc>
        <w:tc>
          <w:tcPr>
            <w:tcW w:type="dxa" w:w="4032"/>
            <w:shd w:fill="F8FAFC"/>
            <w:tcMar>
              <w:top w:w="120" w:type="dxa"/>
              <w:bottom w:w="120" w:type="dxa"/>
              <w:left w:w="160" w:type="dxa"/>
              <w:right w:w="160" w:type="dxa"/>
            </w:tcMar>
          </w:tcPr>
          <w:p>
            <w:pPr>
              <w:spacing w:before="0" w:after="0" w:line="276" w:lineRule="auto"/>
              <w:jc w:val="left"/>
            </w:pPr>
            <w:r>
              <w:rPr>
                <w:rFonts w:ascii="Arial" w:hAnsi="Arial"/>
                <w:color w:val="334155"/>
                <w:sz w:val="18"/>
              </w:rPr>
              <w:t>Returns structured JSON report with latency and status code back to client.</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7. Dashboard Render</w:t>
            </w:r>
          </w:p>
        </w:tc>
        <w:tc>
          <w:tcPr>
            <w:tcW w:type="dxa" w:w="3168"/>
            <w:shd w:fill="FFFFFF"/>
            <w:tcMar>
              <w:top w:w="120" w:type="dxa"/>
              <w:bottom w:w="120" w:type="dxa"/>
              <w:left w:w="160" w:type="dxa"/>
              <w:right w:w="160" w:type="dxa"/>
            </w:tcMar>
          </w:tcPr>
          <w:p>
            <w:pPr>
              <w:spacing w:before="0" w:after="0" w:line="276" w:lineRule="auto"/>
              <w:jc w:val="left"/>
            </w:pPr>
            <w:r>
              <w:rPr>
                <w:rFonts w:ascii="Arial" w:hAnsi="Arial"/>
                <w:color w:val="334155"/>
                <w:sz w:val="18"/>
              </w:rPr>
              <w:t>React State &amp; Motion UI</w:t>
            </w:r>
          </w:p>
        </w:tc>
        <w:tc>
          <w:tcPr>
            <w:tcW w:type="dxa" w:w="4032"/>
            <w:shd w:fill="FFFFFF"/>
            <w:tcMar>
              <w:top w:w="120" w:type="dxa"/>
              <w:bottom w:w="120" w:type="dxa"/>
              <w:left w:w="160" w:type="dxa"/>
              <w:right w:w="160" w:type="dxa"/>
            </w:tcMar>
          </w:tcPr>
          <w:p>
            <w:pPr>
              <w:spacing w:before="0" w:after="0" w:line="276" w:lineRule="auto"/>
              <w:jc w:val="left"/>
            </w:pPr>
            <w:r>
              <w:rPr>
                <w:rFonts w:ascii="Arial" w:hAnsi="Arial"/>
                <w:color w:val="334155"/>
                <w:sz w:val="18"/>
              </w:rPr>
              <w:t>Renders KPI cards, SEO audit, accessibility checklist, and JSON inspector.</w:t>
            </w:r>
          </w:p>
        </w:tc>
      </w:tr>
    </w:tbl>
    <w:p>
      <w:pPr>
        <w:spacing w:before="0" w:after="120"/>
      </w:pPr>
    </w:p>
    <w:p>
      <w:pPr>
        <w:keepNext/>
        <w:spacing w:before="280" w:after="80"/>
      </w:pPr>
      <w:r>
        <w:rPr>
          <w:rFonts w:ascii="Arial" w:hAnsi="Arial"/>
          <w:b/>
          <w:color w:val="2563EB"/>
          <w:sz w:val="25"/>
        </w:rPr>
        <w:t>6.2 Multi-Model Evaluation Lifecycle (PromptDesk &amp; OpenRouter)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2160"/>
            <w:shd w:fill="1E3A8A"/>
            <w:tcMar>
              <w:top w:w="140" w:type="dxa"/>
              <w:bottom w:w="140" w:type="dxa"/>
              <w:left w:w="160" w:type="dxa"/>
              <w:right w:w="160" w:type="dxa"/>
            </w:tcMar>
          </w:tcPr>
          <w:p>
            <w:pPr>
              <w:spacing w:before="0" w:after="0"/>
              <w:jc w:val="left"/>
            </w:pPr>
            <w:r>
              <w:rPr>
                <w:rFonts w:ascii="Arial" w:hAnsi="Arial"/>
                <w:b/>
                <w:color w:val="FFFFFF"/>
                <w:sz w:val="19"/>
              </w:rPr>
              <w:t>Step</w:t>
            </w:r>
          </w:p>
        </w:tc>
        <w:tc>
          <w:tcPr>
            <w:tcW w:type="dxa" w:w="3168"/>
            <w:shd w:fill="1E3A8A"/>
            <w:tcMar>
              <w:top w:w="140" w:type="dxa"/>
              <w:bottom w:w="140" w:type="dxa"/>
              <w:left w:w="160" w:type="dxa"/>
              <w:right w:w="160" w:type="dxa"/>
            </w:tcMar>
          </w:tcPr>
          <w:p>
            <w:pPr>
              <w:spacing w:before="0" w:after="0"/>
              <w:jc w:val="left"/>
            </w:pPr>
            <w:r>
              <w:rPr>
                <w:rFonts w:ascii="Arial" w:hAnsi="Arial"/>
                <w:b/>
                <w:color w:val="FFFFFF"/>
                <w:sz w:val="19"/>
              </w:rPr>
              <w:t>Component / Layer</w:t>
            </w:r>
          </w:p>
        </w:tc>
        <w:tc>
          <w:tcPr>
            <w:tcW w:type="dxa" w:w="4032"/>
            <w:shd w:fill="1E3A8A"/>
            <w:tcMar>
              <w:top w:w="140" w:type="dxa"/>
              <w:bottom w:w="140" w:type="dxa"/>
              <w:left w:w="160" w:type="dxa"/>
              <w:right w:w="160" w:type="dxa"/>
            </w:tcMar>
          </w:tcPr>
          <w:p>
            <w:pPr>
              <w:spacing w:before="0" w:after="0"/>
              <w:jc w:val="left"/>
            </w:pPr>
            <w:r>
              <w:rPr>
                <w:rFonts w:ascii="Arial" w:hAnsi="Arial"/>
                <w:b/>
                <w:color w:val="FFFFFF"/>
                <w:sz w:val="19"/>
              </w:rPr>
              <w:t>Action &amp; Architectural Responsibility</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1. Prompt Drafting</w:t>
            </w:r>
          </w:p>
        </w:tc>
        <w:tc>
          <w:tcPr>
            <w:tcW w:type="dxa" w:w="3168"/>
            <w:shd w:fill="FFFFFF"/>
            <w:tcMar>
              <w:top w:w="120" w:type="dxa"/>
              <w:bottom w:w="120" w:type="dxa"/>
              <w:left w:w="160" w:type="dxa"/>
              <w:right w:w="160" w:type="dxa"/>
            </w:tcMar>
          </w:tcPr>
          <w:p>
            <w:pPr>
              <w:spacing w:before="0" w:after="0" w:line="276" w:lineRule="auto"/>
              <w:jc w:val="left"/>
            </w:pPr>
            <w:r>
              <w:rPr>
                <w:rFonts w:ascii="Arial" w:hAnsi="Arial"/>
                <w:color w:val="334155"/>
                <w:sz w:val="18"/>
              </w:rPr>
              <w:t>PromptDesk Workspace</w:t>
            </w:r>
          </w:p>
        </w:tc>
        <w:tc>
          <w:tcPr>
            <w:tcW w:type="dxa" w:w="4032"/>
            <w:shd w:fill="FFFFFF"/>
            <w:tcMar>
              <w:top w:w="120" w:type="dxa"/>
              <w:bottom w:w="120" w:type="dxa"/>
              <w:left w:w="160" w:type="dxa"/>
              <w:right w:w="160" w:type="dxa"/>
            </w:tcMar>
          </w:tcPr>
          <w:p>
            <w:pPr>
              <w:spacing w:before="0" w:after="0" w:line="276" w:lineRule="auto"/>
              <w:jc w:val="left"/>
            </w:pPr>
            <w:r>
              <w:rPr>
                <w:rFonts w:ascii="Arial" w:hAnsi="Arial"/>
                <w:color w:val="334155"/>
                <w:sz w:val="18"/>
              </w:rPr>
              <w:t>Developer configures prompt template, system instructions, and variables.</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2. Model Selection</w:t>
            </w:r>
          </w:p>
        </w:tc>
        <w:tc>
          <w:tcPr>
            <w:tcW w:type="dxa" w:w="3168"/>
            <w:shd w:fill="F8FAFC"/>
            <w:tcMar>
              <w:top w:w="120" w:type="dxa"/>
              <w:bottom w:w="120" w:type="dxa"/>
              <w:left w:w="160" w:type="dxa"/>
              <w:right w:w="160" w:type="dxa"/>
            </w:tcMar>
          </w:tcPr>
          <w:p>
            <w:pPr>
              <w:spacing w:before="0" w:after="0" w:line="276" w:lineRule="auto"/>
              <w:jc w:val="left"/>
            </w:pPr>
            <w:r>
              <w:rPr>
                <w:rFonts w:ascii="Arial" w:hAnsi="Arial"/>
                <w:color w:val="334155"/>
                <w:sz w:val="18"/>
              </w:rPr>
              <w:t>Model Matrix Selector</w:t>
            </w:r>
          </w:p>
        </w:tc>
        <w:tc>
          <w:tcPr>
            <w:tcW w:type="dxa" w:w="4032"/>
            <w:shd w:fill="F8FAFC"/>
            <w:tcMar>
              <w:top w:w="120" w:type="dxa"/>
              <w:bottom w:w="120" w:type="dxa"/>
              <w:left w:w="160" w:type="dxa"/>
              <w:right w:w="160" w:type="dxa"/>
            </w:tcMar>
          </w:tcPr>
          <w:p>
            <w:pPr>
              <w:spacing w:before="0" w:after="0" w:line="276" w:lineRule="auto"/>
              <w:jc w:val="left"/>
            </w:pPr>
            <w:r>
              <w:rPr>
                <w:rFonts w:ascii="Arial" w:hAnsi="Arial"/>
                <w:color w:val="334155"/>
                <w:sz w:val="18"/>
              </w:rPr>
              <w:t>User designates comparison models (e.g., Claude 3.5 Sonnet vs GPT-4o vs Gemini).</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3. Gateway Dispatch</w:t>
            </w:r>
          </w:p>
        </w:tc>
        <w:tc>
          <w:tcPr>
            <w:tcW w:type="dxa" w:w="3168"/>
            <w:shd w:fill="FFFFFF"/>
            <w:tcMar>
              <w:top w:w="120" w:type="dxa"/>
              <w:bottom w:w="120" w:type="dxa"/>
              <w:left w:w="160" w:type="dxa"/>
              <w:right w:w="160" w:type="dxa"/>
            </w:tcMar>
          </w:tcPr>
          <w:p>
            <w:pPr>
              <w:spacing w:before="0" w:after="0" w:line="276" w:lineRule="auto"/>
              <w:jc w:val="left"/>
            </w:pPr>
            <w:r>
              <w:rPr>
                <w:rFonts w:ascii="Arial" w:hAnsi="Arial"/>
                <w:color w:val="334155"/>
                <w:sz w:val="18"/>
              </w:rPr>
              <w:t>OpenRouter REST API</w:t>
            </w:r>
          </w:p>
        </w:tc>
        <w:tc>
          <w:tcPr>
            <w:tcW w:type="dxa" w:w="4032"/>
            <w:shd w:fill="FFFFFF"/>
            <w:tcMar>
              <w:top w:w="120" w:type="dxa"/>
              <w:bottom w:w="120" w:type="dxa"/>
              <w:left w:w="160" w:type="dxa"/>
              <w:right w:w="160" w:type="dxa"/>
            </w:tcMar>
          </w:tcPr>
          <w:p>
            <w:pPr>
              <w:spacing w:before="0" w:after="0" w:line="276" w:lineRule="auto"/>
              <w:jc w:val="left"/>
            </w:pPr>
            <w:r>
              <w:rPr>
                <w:rFonts w:ascii="Arial" w:hAnsi="Arial"/>
                <w:color w:val="334155"/>
                <w:sz w:val="18"/>
              </w:rPr>
              <w:t>Dispatches asynchronous requests to https://openrouter.ai/api/v1/chat/completions.</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4. Inference Routing</w:t>
            </w:r>
          </w:p>
        </w:tc>
        <w:tc>
          <w:tcPr>
            <w:tcW w:type="dxa" w:w="3168"/>
            <w:shd w:fill="F8FAFC"/>
            <w:tcMar>
              <w:top w:w="120" w:type="dxa"/>
              <w:bottom w:w="120" w:type="dxa"/>
              <w:left w:w="160" w:type="dxa"/>
              <w:right w:w="160" w:type="dxa"/>
            </w:tcMar>
          </w:tcPr>
          <w:p>
            <w:pPr>
              <w:spacing w:before="0" w:after="0" w:line="276" w:lineRule="auto"/>
              <w:jc w:val="left"/>
            </w:pPr>
            <w:r>
              <w:rPr>
                <w:rFonts w:ascii="Arial" w:hAnsi="Arial"/>
                <w:color w:val="334155"/>
                <w:sz w:val="18"/>
              </w:rPr>
              <w:t>OpenRouter Edge Layer</w:t>
            </w:r>
          </w:p>
        </w:tc>
        <w:tc>
          <w:tcPr>
            <w:tcW w:type="dxa" w:w="4032"/>
            <w:shd w:fill="F8FAFC"/>
            <w:tcMar>
              <w:top w:w="120" w:type="dxa"/>
              <w:bottom w:w="120" w:type="dxa"/>
              <w:left w:w="160" w:type="dxa"/>
              <w:right w:w="160" w:type="dxa"/>
            </w:tcMar>
          </w:tcPr>
          <w:p>
            <w:pPr>
              <w:spacing w:before="0" w:after="0" w:line="276" w:lineRule="auto"/>
              <w:jc w:val="left"/>
            </w:pPr>
            <w:r>
              <w:rPr>
                <w:rFonts w:ascii="Arial" w:hAnsi="Arial"/>
                <w:color w:val="334155"/>
                <w:sz w:val="18"/>
              </w:rPr>
              <w:t>Routes requests to provider endpoints; applies automated failovers if needed.</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5. Metric Aggregation</w:t>
            </w:r>
          </w:p>
        </w:tc>
        <w:tc>
          <w:tcPr>
            <w:tcW w:type="dxa" w:w="3168"/>
            <w:shd w:fill="FFFFFF"/>
            <w:tcMar>
              <w:top w:w="120" w:type="dxa"/>
              <w:bottom w:w="120" w:type="dxa"/>
              <w:left w:w="160" w:type="dxa"/>
              <w:right w:w="160" w:type="dxa"/>
            </w:tcMar>
          </w:tcPr>
          <w:p>
            <w:pPr>
              <w:spacing w:before="0" w:after="0" w:line="276" w:lineRule="auto"/>
              <w:jc w:val="left"/>
            </w:pPr>
            <w:r>
              <w:rPr>
                <w:rFonts w:ascii="Arial" w:hAnsi="Arial"/>
                <w:color w:val="334155"/>
                <w:sz w:val="18"/>
              </w:rPr>
              <w:t>Evaluation Engine</w:t>
            </w:r>
          </w:p>
        </w:tc>
        <w:tc>
          <w:tcPr>
            <w:tcW w:type="dxa" w:w="4032"/>
            <w:shd w:fill="FFFFFF"/>
            <w:tcMar>
              <w:top w:w="120" w:type="dxa"/>
              <w:bottom w:w="120" w:type="dxa"/>
              <w:left w:w="160" w:type="dxa"/>
              <w:right w:w="160" w:type="dxa"/>
            </w:tcMar>
          </w:tcPr>
          <w:p>
            <w:pPr>
              <w:spacing w:before="0" w:after="0" w:line="276" w:lineRule="auto"/>
              <w:jc w:val="left"/>
            </w:pPr>
            <w:r>
              <w:rPr>
                <w:rFonts w:ascii="Arial" w:hAnsi="Arial"/>
                <w:color w:val="334155"/>
                <w:sz w:val="18"/>
              </w:rPr>
              <w:t>Streams completions, measures time-to-first-token (TTFT), and logs token costs.</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6. Comparison View</w:t>
            </w:r>
          </w:p>
        </w:tc>
        <w:tc>
          <w:tcPr>
            <w:tcW w:type="dxa" w:w="3168"/>
            <w:shd w:fill="F8FAFC"/>
            <w:tcMar>
              <w:top w:w="120" w:type="dxa"/>
              <w:bottom w:w="120" w:type="dxa"/>
              <w:left w:w="160" w:type="dxa"/>
              <w:right w:w="160" w:type="dxa"/>
            </w:tcMar>
          </w:tcPr>
          <w:p>
            <w:pPr>
              <w:spacing w:before="0" w:after="0" w:line="276" w:lineRule="auto"/>
              <w:jc w:val="left"/>
            </w:pPr>
            <w:r>
              <w:rPr>
                <w:rFonts w:ascii="Arial" w:hAnsi="Arial"/>
                <w:color w:val="334155"/>
                <w:sz w:val="18"/>
              </w:rPr>
              <w:t>PromptDesk Comparison UI</w:t>
            </w:r>
          </w:p>
        </w:tc>
        <w:tc>
          <w:tcPr>
            <w:tcW w:type="dxa" w:w="4032"/>
            <w:shd w:fill="F8FAFC"/>
            <w:tcMar>
              <w:top w:w="120" w:type="dxa"/>
              <w:bottom w:w="120" w:type="dxa"/>
              <w:left w:w="160" w:type="dxa"/>
              <w:right w:w="160" w:type="dxa"/>
            </w:tcMar>
          </w:tcPr>
          <w:p>
            <w:pPr>
              <w:spacing w:before="0" w:after="0" w:line="276" w:lineRule="auto"/>
              <w:jc w:val="left"/>
            </w:pPr>
            <w:r>
              <w:rPr>
                <w:rFonts w:ascii="Arial" w:hAnsi="Arial"/>
                <w:color w:val="334155"/>
                <w:sz w:val="18"/>
              </w:rPr>
              <w:t>Displays side-by-side completions for output quality and prompt evaluation.</w:t>
            </w:r>
          </w:p>
        </w:tc>
      </w:tr>
    </w:tbl>
    <w:p>
      <w:pPr>
        <w:spacing w:before="0" w:after="120"/>
      </w:pPr>
    </w:p>
    <w:p>
      <w:pPr>
        <w:keepNext/>
        <w:spacing w:before="360" w:after="120"/>
        <w:pBdr>
          <w:bottom w:val="single" w:sz="12" w:space="4" w:color="2563EB"/>
        </w:pBdr>
      </w:pPr>
      <w:r>
        <w:rPr>
          <w:rFonts w:ascii="Arial" w:hAnsi="Arial"/>
          <w:b/>
          <w:color w:val="1E3A8A"/>
          <w:sz w:val="32"/>
        </w:rPr>
        <w:t>7. Key Design Decisions &amp; Technical Trade-offs</w:t>
      </w:r>
    </w:p>
    <w:p>
      <w:pPr>
        <w:pStyle w:val="ListBullet"/>
        <w:spacing w:before="0" w:after="60" w:line="276" w:lineRule="auto"/>
        <w:ind w:left="360"/>
      </w:pPr>
      <w:r>
        <w:rPr>
          <w:rFonts w:ascii="Arial" w:hAnsi="Arial"/>
          <w:b/>
          <w:color w:val="0F172A"/>
          <w:sz w:val="19"/>
        </w:rPr>
        <w:t xml:space="preserve">Decision 1 — Cheerio vs Headless Browser: </w:t>
      </w:r>
      <w:r>
        <w:rPr>
          <w:rFonts w:ascii="Arial" w:hAnsi="Arial"/>
          <w:color w:val="334155"/>
          <w:sz w:val="19"/>
        </w:rPr>
        <w:t xml:space="preserve"> Cheerio was chosen over headless browsers because it completes DOM parsing in 5-25ms with minimal RAM overhead. Puppeteer would have required 300MB+ binaries and 3-5 second cold starts, making it unsuitable for standard serverless tiers.</w:t>
      </w:r>
    </w:p>
    <w:p>
      <w:pPr>
        <w:pStyle w:val="ListBullet"/>
        <w:spacing w:before="0" w:after="60" w:line="276" w:lineRule="auto"/>
        <w:ind w:left="360"/>
      </w:pPr>
      <w:r>
        <w:rPr>
          <w:rFonts w:ascii="Arial" w:hAnsi="Arial"/>
          <w:b/>
          <w:color w:val="0F172A"/>
          <w:sz w:val="19"/>
        </w:rPr>
        <w:t xml:space="preserve">Decision 2 — Inlined Serverless Bundle vs Shared Library: </w:t>
      </w:r>
      <w:r>
        <w:rPr>
          <w:rFonts w:ascii="Arial" w:hAnsi="Arial"/>
          <w:color w:val="334155"/>
          <w:sz w:val="19"/>
        </w:rPr>
        <w:t xml:space="preserve"> Inlining the parser and Cheerio imports within api/audit.ts guaranteed atomic serverless deployment on Vercel without relying on fragile monorepo or cross-directory bundling configurations.</w:t>
      </w:r>
    </w:p>
    <w:p>
      <w:pPr>
        <w:pStyle w:val="ListBullet"/>
        <w:spacing w:before="0" w:after="60" w:line="276" w:lineRule="auto"/>
        <w:ind w:left="360"/>
      </w:pPr>
      <w:r>
        <w:rPr>
          <w:rFonts w:ascii="Arial" w:hAnsi="Arial"/>
          <w:b/>
          <w:color w:val="0F172A"/>
          <w:sz w:val="19"/>
        </w:rPr>
        <w:t xml:space="preserve">Decision 3 — OpenRouter Unified Gateway vs Vendor SDKs: </w:t>
      </w:r>
      <w:r>
        <w:rPr>
          <w:rFonts w:ascii="Arial" w:hAnsi="Arial"/>
          <w:color w:val="334155"/>
          <w:sz w:val="19"/>
        </w:rPr>
        <w:t xml:space="preserve"> Using OpenRouter as a unified gateway eliminated the need to maintain separate SDKs (openai, @anthropic-ai/sdk, @google/genai), reducing bundle bloat and providing standardized token auditing across all models.</w:t>
      </w:r>
    </w:p>
    <w:p>
      <w:pPr>
        <w:pStyle w:val="ListBullet"/>
        <w:spacing w:before="0" w:after="60" w:line="276" w:lineRule="auto"/>
        <w:ind w:left="360"/>
      </w:pPr>
      <w:r>
        <w:rPr>
          <w:rFonts w:ascii="Arial" w:hAnsi="Arial"/>
          <w:b/>
          <w:color w:val="0F172A"/>
          <w:sz w:val="19"/>
        </w:rPr>
        <w:t xml:space="preserve">Decision 4 — High-Contrast Pastel UI vs Standard Monotones: </w:t>
      </w:r>
      <w:r>
        <w:rPr>
          <w:rFonts w:ascii="Arial" w:hAnsi="Arial"/>
          <w:color w:val="334155"/>
          <w:sz w:val="19"/>
        </w:rPr>
        <w:t xml:space="preserve"> Implemented high-contrast pastel surfaces (#EDE9FE, #D1FAE5) with dark charcoal borders (#1E293B) to create an engaging visual aesthetic while maintaining strict WCAG AA contrast ratios for text elements.</w:t>
      </w:r>
    </w:p>
    <w:p>
      <w:pPr>
        <w:keepNext/>
        <w:spacing w:before="360" w:after="120"/>
        <w:pBdr>
          <w:bottom w:val="single" w:sz="12" w:space="4" w:color="2563EB"/>
        </w:pBdr>
      </w:pPr>
      <w:r>
        <w:rPr>
          <w:rFonts w:ascii="Arial" w:hAnsi="Arial"/>
          <w:b/>
          <w:color w:val="1E3A8A"/>
          <w:sz w:val="32"/>
        </w:rPr>
        <w:t>8. Master Technology Stack Matrix</w:t>
      </w:r>
    </w:p>
    <w:p>
      <w:pPr>
        <w:spacing w:before="0" w:after="120" w:line="276" w:lineRule="auto"/>
      </w:pPr>
      <w:r>
        <w:rPr>
          <w:rFonts w:ascii="Arial" w:hAnsi="Arial"/>
          <w:color w:val="334155"/>
          <w:sz w:val="20"/>
        </w:rPr>
        <w:t>The table below summarizes every technology, library, framework, and service deployed across the project: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2160"/>
            <w:shd w:fill="1E3A8A"/>
            <w:tcMar>
              <w:top w:w="140" w:type="dxa"/>
              <w:bottom w:w="140" w:type="dxa"/>
              <w:left w:w="160" w:type="dxa"/>
              <w:right w:w="160" w:type="dxa"/>
            </w:tcMar>
          </w:tcPr>
          <w:p>
            <w:pPr>
              <w:spacing w:before="0" w:after="0"/>
              <w:jc w:val="left"/>
            </w:pPr>
            <w:r>
              <w:rPr>
                <w:rFonts w:ascii="Arial" w:hAnsi="Arial"/>
                <w:b/>
                <w:color w:val="FFFFFF"/>
                <w:sz w:val="19"/>
              </w:rPr>
              <w:t>Layer / Category</w:t>
            </w:r>
          </w:p>
        </w:tc>
        <w:tc>
          <w:tcPr>
            <w:tcW w:type="dxa" w:w="2304"/>
            <w:shd w:fill="1E3A8A"/>
            <w:tcMar>
              <w:top w:w="140" w:type="dxa"/>
              <w:bottom w:w="140" w:type="dxa"/>
              <w:left w:w="160" w:type="dxa"/>
              <w:right w:w="160" w:type="dxa"/>
            </w:tcMar>
          </w:tcPr>
          <w:p>
            <w:pPr>
              <w:spacing w:before="0" w:after="0"/>
              <w:jc w:val="left"/>
            </w:pPr>
            <w:r>
              <w:rPr>
                <w:rFonts w:ascii="Arial" w:hAnsi="Arial"/>
                <w:b/>
                <w:color w:val="FFFFFF"/>
                <w:sz w:val="19"/>
              </w:rPr>
              <w:t>Technology</w:t>
            </w:r>
          </w:p>
        </w:tc>
        <w:tc>
          <w:tcPr>
            <w:tcW w:type="dxa" w:w="1440"/>
            <w:shd w:fill="1E3A8A"/>
            <w:tcMar>
              <w:top w:w="140" w:type="dxa"/>
              <w:bottom w:w="140" w:type="dxa"/>
              <w:left w:w="160" w:type="dxa"/>
              <w:right w:w="160" w:type="dxa"/>
            </w:tcMar>
          </w:tcPr>
          <w:p>
            <w:pPr>
              <w:spacing w:before="0" w:after="0"/>
              <w:jc w:val="left"/>
            </w:pPr>
            <w:r>
              <w:rPr>
                <w:rFonts w:ascii="Arial" w:hAnsi="Arial"/>
                <w:b/>
                <w:color w:val="FFFFFF"/>
                <w:sz w:val="19"/>
              </w:rPr>
              <w:t>Version</w:t>
            </w:r>
          </w:p>
        </w:tc>
        <w:tc>
          <w:tcPr>
            <w:tcW w:type="dxa" w:w="3456"/>
            <w:shd w:fill="1E3A8A"/>
            <w:tcMar>
              <w:top w:w="140" w:type="dxa"/>
              <w:bottom w:w="140" w:type="dxa"/>
              <w:left w:w="160" w:type="dxa"/>
              <w:right w:w="160" w:type="dxa"/>
            </w:tcMar>
          </w:tcPr>
          <w:p>
            <w:pPr>
              <w:spacing w:before="0" w:after="0"/>
              <w:jc w:val="left"/>
            </w:pPr>
            <w:r>
              <w:rPr>
                <w:rFonts w:ascii="Arial" w:hAnsi="Arial"/>
                <w:b/>
                <w:color w:val="FFFFFF"/>
                <w:sz w:val="19"/>
              </w:rPr>
              <w:t>Architectural Purpose &amp; Role</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Frontend UI</w:t>
            </w:r>
          </w:p>
        </w:tc>
        <w:tc>
          <w:tcPr>
            <w:tcW w:type="dxa" w:w="2304"/>
            <w:shd w:fill="FFFFFF"/>
            <w:tcMar>
              <w:top w:w="120" w:type="dxa"/>
              <w:bottom w:w="120" w:type="dxa"/>
              <w:left w:w="160" w:type="dxa"/>
              <w:right w:w="160" w:type="dxa"/>
            </w:tcMar>
          </w:tcPr>
          <w:p>
            <w:pPr>
              <w:spacing w:before="0" w:after="0" w:line="276" w:lineRule="auto"/>
              <w:jc w:val="left"/>
            </w:pPr>
            <w:r>
              <w:rPr>
                <w:rFonts w:ascii="Arial" w:hAnsi="Arial"/>
                <w:color w:val="334155"/>
                <w:sz w:val="18"/>
              </w:rPr>
              <w:t>React 19</w:t>
            </w:r>
          </w:p>
        </w:tc>
        <w:tc>
          <w:tcPr>
            <w:tcW w:type="dxa" w:w="1440"/>
            <w:shd w:fill="FFFFFF"/>
            <w:tcMar>
              <w:top w:w="120" w:type="dxa"/>
              <w:bottom w:w="120" w:type="dxa"/>
              <w:left w:w="160" w:type="dxa"/>
              <w:right w:w="160" w:type="dxa"/>
            </w:tcMar>
          </w:tcPr>
          <w:p>
            <w:pPr>
              <w:spacing w:before="0" w:after="0" w:line="276" w:lineRule="auto"/>
              <w:jc w:val="left"/>
            </w:pPr>
            <w:r>
              <w:rPr>
                <w:rFonts w:ascii="Arial" w:hAnsi="Arial"/>
                <w:color w:val="334155"/>
                <w:sz w:val="18"/>
              </w:rPr>
              <w:t>^19.0.0</w:t>
            </w:r>
          </w:p>
        </w:tc>
        <w:tc>
          <w:tcPr>
            <w:tcW w:type="dxa" w:w="3456"/>
            <w:shd w:fill="FFFFFF"/>
            <w:tcMar>
              <w:top w:w="120" w:type="dxa"/>
              <w:bottom w:w="120" w:type="dxa"/>
              <w:left w:w="160" w:type="dxa"/>
              <w:right w:w="160" w:type="dxa"/>
            </w:tcMar>
          </w:tcPr>
          <w:p>
            <w:pPr>
              <w:spacing w:before="0" w:after="0" w:line="276" w:lineRule="auto"/>
              <w:jc w:val="left"/>
            </w:pPr>
            <w:r>
              <w:rPr>
                <w:rFonts w:ascii="Arial" w:hAnsi="Arial"/>
                <w:color w:val="334155"/>
                <w:sz w:val="18"/>
              </w:rPr>
              <w:t>Core reactive UI component architecture and state management.</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Language</w:t>
            </w:r>
          </w:p>
        </w:tc>
        <w:tc>
          <w:tcPr>
            <w:tcW w:type="dxa" w:w="2304"/>
            <w:shd w:fill="F8FAFC"/>
            <w:tcMar>
              <w:top w:w="120" w:type="dxa"/>
              <w:bottom w:w="120" w:type="dxa"/>
              <w:left w:w="160" w:type="dxa"/>
              <w:right w:w="160" w:type="dxa"/>
            </w:tcMar>
          </w:tcPr>
          <w:p>
            <w:pPr>
              <w:spacing w:before="0" w:after="0" w:line="276" w:lineRule="auto"/>
              <w:jc w:val="left"/>
            </w:pPr>
            <w:r>
              <w:rPr>
                <w:rFonts w:ascii="Arial" w:hAnsi="Arial"/>
                <w:color w:val="334155"/>
                <w:sz w:val="18"/>
              </w:rPr>
              <w:t>TypeScript</w:t>
            </w:r>
          </w:p>
        </w:tc>
        <w:tc>
          <w:tcPr>
            <w:tcW w:type="dxa" w:w="1440"/>
            <w:shd w:fill="F8FAFC"/>
            <w:tcMar>
              <w:top w:w="120" w:type="dxa"/>
              <w:bottom w:w="120" w:type="dxa"/>
              <w:left w:w="160" w:type="dxa"/>
              <w:right w:w="160" w:type="dxa"/>
            </w:tcMar>
          </w:tcPr>
          <w:p>
            <w:pPr>
              <w:spacing w:before="0" w:after="0" w:line="276" w:lineRule="auto"/>
              <w:jc w:val="left"/>
            </w:pPr>
            <w:r>
              <w:rPr>
                <w:rFonts w:ascii="Arial" w:hAnsi="Arial"/>
                <w:color w:val="334155"/>
                <w:sz w:val="18"/>
              </w:rPr>
              <w:t>~5.8.2</w:t>
            </w:r>
          </w:p>
        </w:tc>
        <w:tc>
          <w:tcPr>
            <w:tcW w:type="dxa" w:w="3456"/>
            <w:shd w:fill="F8FAFC"/>
            <w:tcMar>
              <w:top w:w="120" w:type="dxa"/>
              <w:bottom w:w="120" w:type="dxa"/>
              <w:left w:w="160" w:type="dxa"/>
              <w:right w:w="160" w:type="dxa"/>
            </w:tcMar>
          </w:tcPr>
          <w:p>
            <w:pPr>
              <w:spacing w:before="0" w:after="0" w:line="276" w:lineRule="auto"/>
              <w:jc w:val="left"/>
            </w:pPr>
            <w:r>
              <w:rPr>
                <w:rFonts w:ascii="Arial" w:hAnsi="Arial"/>
                <w:color w:val="334155"/>
                <w:sz w:val="18"/>
              </w:rPr>
              <w:t>End-to-end type safety, interface definitions, and static verification.</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Build Tool</w:t>
            </w:r>
          </w:p>
        </w:tc>
        <w:tc>
          <w:tcPr>
            <w:tcW w:type="dxa" w:w="2304"/>
            <w:shd w:fill="FFFFFF"/>
            <w:tcMar>
              <w:top w:w="120" w:type="dxa"/>
              <w:bottom w:w="120" w:type="dxa"/>
              <w:left w:w="160" w:type="dxa"/>
              <w:right w:w="160" w:type="dxa"/>
            </w:tcMar>
          </w:tcPr>
          <w:p>
            <w:pPr>
              <w:spacing w:before="0" w:after="0" w:line="276" w:lineRule="auto"/>
              <w:jc w:val="left"/>
            </w:pPr>
            <w:r>
              <w:rPr>
                <w:rFonts w:ascii="Arial" w:hAnsi="Arial"/>
                <w:color w:val="334155"/>
                <w:sz w:val="18"/>
              </w:rPr>
              <w:t>Vite 6</w:t>
            </w:r>
          </w:p>
        </w:tc>
        <w:tc>
          <w:tcPr>
            <w:tcW w:type="dxa" w:w="1440"/>
            <w:shd w:fill="FFFFFF"/>
            <w:tcMar>
              <w:top w:w="120" w:type="dxa"/>
              <w:bottom w:w="120" w:type="dxa"/>
              <w:left w:w="160" w:type="dxa"/>
              <w:right w:w="160" w:type="dxa"/>
            </w:tcMar>
          </w:tcPr>
          <w:p>
            <w:pPr>
              <w:spacing w:before="0" w:after="0" w:line="276" w:lineRule="auto"/>
              <w:jc w:val="left"/>
            </w:pPr>
            <w:r>
              <w:rPr>
                <w:rFonts w:ascii="Arial" w:hAnsi="Arial"/>
                <w:color w:val="334155"/>
                <w:sz w:val="18"/>
              </w:rPr>
              <w:t>^6.2.0</w:t>
            </w:r>
          </w:p>
        </w:tc>
        <w:tc>
          <w:tcPr>
            <w:tcW w:type="dxa" w:w="3456"/>
            <w:shd w:fill="FFFFFF"/>
            <w:tcMar>
              <w:top w:w="120" w:type="dxa"/>
              <w:bottom w:w="120" w:type="dxa"/>
              <w:left w:w="160" w:type="dxa"/>
              <w:right w:w="160" w:type="dxa"/>
            </w:tcMar>
          </w:tcPr>
          <w:p>
            <w:pPr>
              <w:spacing w:before="0" w:after="0" w:line="276" w:lineRule="auto"/>
              <w:jc w:val="left"/>
            </w:pPr>
            <w:r>
              <w:rPr>
                <w:rFonts w:ascii="Arial" w:hAnsi="Arial"/>
                <w:color w:val="334155"/>
                <w:sz w:val="18"/>
              </w:rPr>
              <w:t>Fast build engine, instant HMR, Rollup production bundling.</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Styling Engine</w:t>
            </w:r>
          </w:p>
        </w:tc>
        <w:tc>
          <w:tcPr>
            <w:tcW w:type="dxa" w:w="2304"/>
            <w:shd w:fill="F8FAFC"/>
            <w:tcMar>
              <w:top w:w="120" w:type="dxa"/>
              <w:bottom w:w="120" w:type="dxa"/>
              <w:left w:w="160" w:type="dxa"/>
              <w:right w:w="160" w:type="dxa"/>
            </w:tcMar>
          </w:tcPr>
          <w:p>
            <w:pPr>
              <w:spacing w:before="0" w:after="0" w:line="276" w:lineRule="auto"/>
              <w:jc w:val="left"/>
            </w:pPr>
            <w:r>
              <w:rPr>
                <w:rFonts w:ascii="Arial" w:hAnsi="Arial"/>
                <w:color w:val="334155"/>
                <w:sz w:val="18"/>
              </w:rPr>
              <w:t>Tailwind CSS v4</w:t>
            </w:r>
          </w:p>
        </w:tc>
        <w:tc>
          <w:tcPr>
            <w:tcW w:type="dxa" w:w="1440"/>
            <w:shd w:fill="F8FAFC"/>
            <w:tcMar>
              <w:top w:w="120" w:type="dxa"/>
              <w:bottom w:w="120" w:type="dxa"/>
              <w:left w:w="160" w:type="dxa"/>
              <w:right w:w="160" w:type="dxa"/>
            </w:tcMar>
          </w:tcPr>
          <w:p>
            <w:pPr>
              <w:spacing w:before="0" w:after="0" w:line="276" w:lineRule="auto"/>
              <w:jc w:val="left"/>
            </w:pPr>
            <w:r>
              <w:rPr>
                <w:rFonts w:ascii="Arial" w:hAnsi="Arial"/>
                <w:color w:val="334155"/>
                <w:sz w:val="18"/>
              </w:rPr>
              <w:t>^4.1.14</w:t>
            </w:r>
          </w:p>
        </w:tc>
        <w:tc>
          <w:tcPr>
            <w:tcW w:type="dxa" w:w="3456"/>
            <w:shd w:fill="F8FAFC"/>
            <w:tcMar>
              <w:top w:w="120" w:type="dxa"/>
              <w:bottom w:w="120" w:type="dxa"/>
              <w:left w:w="160" w:type="dxa"/>
              <w:right w:w="160" w:type="dxa"/>
            </w:tcMar>
          </w:tcPr>
          <w:p>
            <w:pPr>
              <w:spacing w:before="0" w:after="0" w:line="276" w:lineRule="auto"/>
              <w:jc w:val="left"/>
            </w:pPr>
            <w:r>
              <w:rPr>
                <w:rFonts w:ascii="Arial" w:hAnsi="Arial"/>
                <w:color w:val="334155"/>
                <w:sz w:val="18"/>
              </w:rPr>
              <w:t>Utility-first modern styling with zero-configuration CSS tokens.</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Vite Plugin</w:t>
            </w:r>
          </w:p>
        </w:tc>
        <w:tc>
          <w:tcPr>
            <w:tcW w:type="dxa" w:w="2304"/>
            <w:shd w:fill="FFFFFF"/>
            <w:tcMar>
              <w:top w:w="120" w:type="dxa"/>
              <w:bottom w:w="120" w:type="dxa"/>
              <w:left w:w="160" w:type="dxa"/>
              <w:right w:w="160" w:type="dxa"/>
            </w:tcMar>
          </w:tcPr>
          <w:p>
            <w:pPr>
              <w:spacing w:before="0" w:after="0" w:line="276" w:lineRule="auto"/>
              <w:jc w:val="left"/>
            </w:pPr>
            <w:r>
              <w:rPr>
                <w:rFonts w:ascii="Arial" w:hAnsi="Arial"/>
                <w:color w:val="334155"/>
                <w:sz w:val="18"/>
              </w:rPr>
              <w:t>@tailwindcss/vite</w:t>
            </w:r>
          </w:p>
        </w:tc>
        <w:tc>
          <w:tcPr>
            <w:tcW w:type="dxa" w:w="1440"/>
            <w:shd w:fill="FFFFFF"/>
            <w:tcMar>
              <w:top w:w="120" w:type="dxa"/>
              <w:bottom w:w="120" w:type="dxa"/>
              <w:left w:w="160" w:type="dxa"/>
              <w:right w:w="160" w:type="dxa"/>
            </w:tcMar>
          </w:tcPr>
          <w:p>
            <w:pPr>
              <w:spacing w:before="0" w:after="0" w:line="276" w:lineRule="auto"/>
              <w:jc w:val="left"/>
            </w:pPr>
            <w:r>
              <w:rPr>
                <w:rFonts w:ascii="Arial" w:hAnsi="Arial"/>
                <w:color w:val="334155"/>
                <w:sz w:val="18"/>
              </w:rPr>
              <w:t>^4.1.14</w:t>
            </w:r>
          </w:p>
        </w:tc>
        <w:tc>
          <w:tcPr>
            <w:tcW w:type="dxa" w:w="3456"/>
            <w:shd w:fill="FFFFFF"/>
            <w:tcMar>
              <w:top w:w="120" w:type="dxa"/>
              <w:bottom w:w="120" w:type="dxa"/>
              <w:left w:w="160" w:type="dxa"/>
              <w:right w:w="160" w:type="dxa"/>
            </w:tcMar>
          </w:tcPr>
          <w:p>
            <w:pPr>
              <w:spacing w:before="0" w:after="0" w:line="276" w:lineRule="auto"/>
              <w:jc w:val="left"/>
            </w:pPr>
            <w:r>
              <w:rPr>
                <w:rFonts w:ascii="Arial" w:hAnsi="Arial"/>
                <w:color w:val="334155"/>
                <w:sz w:val="18"/>
              </w:rPr>
              <w:t>Native Vite integration for Tailwind v4 CSS compilation.</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Animation</w:t>
            </w:r>
          </w:p>
        </w:tc>
        <w:tc>
          <w:tcPr>
            <w:tcW w:type="dxa" w:w="2304"/>
            <w:shd w:fill="F8FAFC"/>
            <w:tcMar>
              <w:top w:w="120" w:type="dxa"/>
              <w:bottom w:w="120" w:type="dxa"/>
              <w:left w:w="160" w:type="dxa"/>
              <w:right w:w="160" w:type="dxa"/>
            </w:tcMar>
          </w:tcPr>
          <w:p>
            <w:pPr>
              <w:spacing w:before="0" w:after="0" w:line="276" w:lineRule="auto"/>
              <w:jc w:val="left"/>
            </w:pPr>
            <w:r>
              <w:rPr>
                <w:rFonts w:ascii="Arial" w:hAnsi="Arial"/>
                <w:color w:val="334155"/>
                <w:sz w:val="18"/>
              </w:rPr>
              <w:t>Motion</w:t>
            </w:r>
          </w:p>
        </w:tc>
        <w:tc>
          <w:tcPr>
            <w:tcW w:type="dxa" w:w="1440"/>
            <w:shd w:fill="F8FAFC"/>
            <w:tcMar>
              <w:top w:w="120" w:type="dxa"/>
              <w:bottom w:w="120" w:type="dxa"/>
              <w:left w:w="160" w:type="dxa"/>
              <w:right w:w="160" w:type="dxa"/>
            </w:tcMar>
          </w:tcPr>
          <w:p>
            <w:pPr>
              <w:spacing w:before="0" w:after="0" w:line="276" w:lineRule="auto"/>
              <w:jc w:val="left"/>
            </w:pPr>
            <w:r>
              <w:rPr>
                <w:rFonts w:ascii="Arial" w:hAnsi="Arial"/>
                <w:color w:val="334155"/>
                <w:sz w:val="18"/>
              </w:rPr>
              <w:t>^12.23.24</w:t>
            </w:r>
          </w:p>
        </w:tc>
        <w:tc>
          <w:tcPr>
            <w:tcW w:type="dxa" w:w="3456"/>
            <w:shd w:fill="F8FAFC"/>
            <w:tcMar>
              <w:top w:w="120" w:type="dxa"/>
              <w:bottom w:w="120" w:type="dxa"/>
              <w:left w:w="160" w:type="dxa"/>
              <w:right w:w="160" w:type="dxa"/>
            </w:tcMar>
          </w:tcPr>
          <w:p>
            <w:pPr>
              <w:spacing w:before="0" w:after="0" w:line="276" w:lineRule="auto"/>
              <w:jc w:val="left"/>
            </w:pPr>
            <w:r>
              <w:rPr>
                <w:rFonts w:ascii="Arial" w:hAnsi="Arial"/>
                <w:color w:val="334155"/>
                <w:sz w:val="18"/>
              </w:rPr>
              <w:t>Fluid physics transitions, floating graphics, and interactive terminal.</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Iconography</w:t>
            </w:r>
          </w:p>
        </w:tc>
        <w:tc>
          <w:tcPr>
            <w:tcW w:type="dxa" w:w="2304"/>
            <w:shd w:fill="FFFFFF"/>
            <w:tcMar>
              <w:top w:w="120" w:type="dxa"/>
              <w:bottom w:w="120" w:type="dxa"/>
              <w:left w:w="160" w:type="dxa"/>
              <w:right w:w="160" w:type="dxa"/>
            </w:tcMar>
          </w:tcPr>
          <w:p>
            <w:pPr>
              <w:spacing w:before="0" w:after="0" w:line="276" w:lineRule="auto"/>
              <w:jc w:val="left"/>
            </w:pPr>
            <w:r>
              <w:rPr>
                <w:rFonts w:ascii="Arial" w:hAnsi="Arial"/>
                <w:color w:val="334155"/>
                <w:sz w:val="18"/>
              </w:rPr>
              <w:t>Lucide React</w:t>
            </w:r>
          </w:p>
        </w:tc>
        <w:tc>
          <w:tcPr>
            <w:tcW w:type="dxa" w:w="1440"/>
            <w:shd w:fill="FFFFFF"/>
            <w:tcMar>
              <w:top w:w="120" w:type="dxa"/>
              <w:bottom w:w="120" w:type="dxa"/>
              <w:left w:w="160" w:type="dxa"/>
              <w:right w:w="160" w:type="dxa"/>
            </w:tcMar>
          </w:tcPr>
          <w:p>
            <w:pPr>
              <w:spacing w:before="0" w:after="0" w:line="276" w:lineRule="auto"/>
              <w:jc w:val="left"/>
            </w:pPr>
            <w:r>
              <w:rPr>
                <w:rFonts w:ascii="Arial" w:hAnsi="Arial"/>
                <w:color w:val="334155"/>
                <w:sz w:val="18"/>
              </w:rPr>
              <w:t>^0.546.0</w:t>
            </w:r>
          </w:p>
        </w:tc>
        <w:tc>
          <w:tcPr>
            <w:tcW w:type="dxa" w:w="3456"/>
            <w:shd w:fill="FFFFFF"/>
            <w:tcMar>
              <w:top w:w="120" w:type="dxa"/>
              <w:bottom w:w="120" w:type="dxa"/>
              <w:left w:w="160" w:type="dxa"/>
              <w:right w:w="160" w:type="dxa"/>
            </w:tcMar>
          </w:tcPr>
          <w:p>
            <w:pPr>
              <w:spacing w:before="0" w:after="0" w:line="276" w:lineRule="auto"/>
              <w:jc w:val="left"/>
            </w:pPr>
            <w:r>
              <w:rPr>
                <w:rFonts w:ascii="Arial" w:hAnsi="Arial"/>
                <w:color w:val="334155"/>
                <w:sz w:val="18"/>
              </w:rPr>
              <w:t>Tree-shakable, lightweight SVG iconography across all dashboard tabs.</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Routing</w:t>
            </w:r>
          </w:p>
        </w:tc>
        <w:tc>
          <w:tcPr>
            <w:tcW w:type="dxa" w:w="2304"/>
            <w:shd w:fill="F8FAFC"/>
            <w:tcMar>
              <w:top w:w="120" w:type="dxa"/>
              <w:bottom w:w="120" w:type="dxa"/>
              <w:left w:w="160" w:type="dxa"/>
              <w:right w:w="160" w:type="dxa"/>
            </w:tcMar>
          </w:tcPr>
          <w:p>
            <w:pPr>
              <w:spacing w:before="0" w:after="0" w:line="276" w:lineRule="auto"/>
              <w:jc w:val="left"/>
            </w:pPr>
            <w:r>
              <w:rPr>
                <w:rFonts w:ascii="Arial" w:hAnsi="Arial"/>
                <w:color w:val="334155"/>
                <w:sz w:val="18"/>
              </w:rPr>
              <w:t>React Router DOM</w:t>
            </w:r>
          </w:p>
        </w:tc>
        <w:tc>
          <w:tcPr>
            <w:tcW w:type="dxa" w:w="1440"/>
            <w:shd w:fill="F8FAFC"/>
            <w:tcMar>
              <w:top w:w="120" w:type="dxa"/>
              <w:bottom w:w="120" w:type="dxa"/>
              <w:left w:w="160" w:type="dxa"/>
              <w:right w:w="160" w:type="dxa"/>
            </w:tcMar>
          </w:tcPr>
          <w:p>
            <w:pPr>
              <w:spacing w:before="0" w:after="0" w:line="276" w:lineRule="auto"/>
              <w:jc w:val="left"/>
            </w:pPr>
            <w:r>
              <w:rPr>
                <w:rFonts w:ascii="Arial" w:hAnsi="Arial"/>
                <w:color w:val="334155"/>
                <w:sz w:val="18"/>
              </w:rPr>
              <w:t>^7.13.2</w:t>
            </w:r>
          </w:p>
        </w:tc>
        <w:tc>
          <w:tcPr>
            <w:tcW w:type="dxa" w:w="3456"/>
            <w:shd w:fill="F8FAFC"/>
            <w:tcMar>
              <w:top w:w="120" w:type="dxa"/>
              <w:bottom w:w="120" w:type="dxa"/>
              <w:left w:w="160" w:type="dxa"/>
              <w:right w:w="160" w:type="dxa"/>
            </w:tcMar>
          </w:tcPr>
          <w:p>
            <w:pPr>
              <w:spacing w:before="0" w:after="0" w:line="276" w:lineRule="auto"/>
              <w:jc w:val="left"/>
            </w:pPr>
            <w:r>
              <w:rPr>
                <w:rFonts w:ascii="Arial" w:hAnsi="Arial"/>
                <w:color w:val="334155"/>
                <w:sz w:val="18"/>
              </w:rPr>
              <w:t>Client-side routing and history state management.</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Serverless API</w:t>
            </w:r>
          </w:p>
        </w:tc>
        <w:tc>
          <w:tcPr>
            <w:tcW w:type="dxa" w:w="2304"/>
            <w:shd w:fill="FFFFFF"/>
            <w:tcMar>
              <w:top w:w="120" w:type="dxa"/>
              <w:bottom w:w="120" w:type="dxa"/>
              <w:left w:w="160" w:type="dxa"/>
              <w:right w:w="160" w:type="dxa"/>
            </w:tcMar>
          </w:tcPr>
          <w:p>
            <w:pPr>
              <w:spacing w:before="0" w:after="0" w:line="276" w:lineRule="auto"/>
              <w:jc w:val="left"/>
            </w:pPr>
            <w:r>
              <w:rPr>
                <w:rFonts w:ascii="Arial" w:hAnsi="Arial"/>
                <w:color w:val="334155"/>
                <w:sz w:val="18"/>
              </w:rPr>
              <w:t>Vercel Functions</w:t>
            </w:r>
          </w:p>
        </w:tc>
        <w:tc>
          <w:tcPr>
            <w:tcW w:type="dxa" w:w="1440"/>
            <w:shd w:fill="FFFFFF"/>
            <w:tcMar>
              <w:top w:w="120" w:type="dxa"/>
              <w:bottom w:w="120" w:type="dxa"/>
              <w:left w:w="160" w:type="dxa"/>
              <w:right w:w="160" w:type="dxa"/>
            </w:tcMar>
          </w:tcPr>
          <w:p>
            <w:pPr>
              <w:spacing w:before="0" w:after="0" w:line="276" w:lineRule="auto"/>
              <w:jc w:val="left"/>
            </w:pPr>
            <w:r>
              <w:rPr>
                <w:rFonts w:ascii="Arial" w:hAnsi="Arial"/>
                <w:color w:val="334155"/>
                <w:sz w:val="18"/>
              </w:rPr>
              <w:t>Node.js 24</w:t>
            </w:r>
          </w:p>
        </w:tc>
        <w:tc>
          <w:tcPr>
            <w:tcW w:type="dxa" w:w="3456"/>
            <w:shd w:fill="FFFFFF"/>
            <w:tcMar>
              <w:top w:w="120" w:type="dxa"/>
              <w:bottom w:w="120" w:type="dxa"/>
              <w:left w:w="160" w:type="dxa"/>
              <w:right w:w="160" w:type="dxa"/>
            </w:tcMar>
          </w:tcPr>
          <w:p>
            <w:pPr>
              <w:spacing w:before="0" w:after="0" w:line="276" w:lineRule="auto"/>
              <w:jc w:val="left"/>
            </w:pPr>
            <w:r>
              <w:rPr>
                <w:rFonts w:ascii="Arial" w:hAnsi="Arial"/>
                <w:color w:val="334155"/>
                <w:sz w:val="18"/>
              </w:rPr>
              <w:t>Event-driven, edge-deployed serverless audit endpoint (/api/audit).</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DOM Parser</w:t>
            </w:r>
          </w:p>
        </w:tc>
        <w:tc>
          <w:tcPr>
            <w:tcW w:type="dxa" w:w="2304"/>
            <w:shd w:fill="F8FAFC"/>
            <w:tcMar>
              <w:top w:w="120" w:type="dxa"/>
              <w:bottom w:w="120" w:type="dxa"/>
              <w:left w:w="160" w:type="dxa"/>
              <w:right w:w="160" w:type="dxa"/>
            </w:tcMar>
          </w:tcPr>
          <w:p>
            <w:pPr>
              <w:spacing w:before="0" w:after="0" w:line="276" w:lineRule="auto"/>
              <w:jc w:val="left"/>
            </w:pPr>
            <w:r>
              <w:rPr>
                <w:rFonts w:ascii="Arial" w:hAnsi="Arial"/>
                <w:color w:val="334155"/>
                <w:sz w:val="18"/>
              </w:rPr>
              <w:t>Cheerio</w:t>
            </w:r>
          </w:p>
        </w:tc>
        <w:tc>
          <w:tcPr>
            <w:tcW w:type="dxa" w:w="1440"/>
            <w:shd w:fill="F8FAFC"/>
            <w:tcMar>
              <w:top w:w="120" w:type="dxa"/>
              <w:bottom w:w="120" w:type="dxa"/>
              <w:left w:w="160" w:type="dxa"/>
              <w:right w:w="160" w:type="dxa"/>
            </w:tcMar>
          </w:tcPr>
          <w:p>
            <w:pPr>
              <w:spacing w:before="0" w:after="0" w:line="276" w:lineRule="auto"/>
              <w:jc w:val="left"/>
            </w:pPr>
            <w:r>
              <w:rPr>
                <w:rFonts w:ascii="Arial" w:hAnsi="Arial"/>
                <w:color w:val="334155"/>
                <w:sz w:val="18"/>
              </w:rPr>
              <w:t>^1.2.0</w:t>
            </w:r>
          </w:p>
        </w:tc>
        <w:tc>
          <w:tcPr>
            <w:tcW w:type="dxa" w:w="3456"/>
            <w:shd w:fill="F8FAFC"/>
            <w:tcMar>
              <w:top w:w="120" w:type="dxa"/>
              <w:bottom w:w="120" w:type="dxa"/>
              <w:left w:w="160" w:type="dxa"/>
              <w:right w:w="160" w:type="dxa"/>
            </w:tcMar>
          </w:tcPr>
          <w:p>
            <w:pPr>
              <w:spacing w:before="0" w:after="0" w:line="276" w:lineRule="auto"/>
              <w:jc w:val="left"/>
            </w:pPr>
            <w:r>
              <w:rPr>
                <w:rFonts w:ascii="Arial" w:hAnsi="Arial"/>
                <w:color w:val="334155"/>
                <w:sz w:val="18"/>
              </w:rPr>
              <w:t>Server-side HTML parsing, tag extraction, and content sanitization.</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AI Gateway</w:t>
            </w:r>
          </w:p>
        </w:tc>
        <w:tc>
          <w:tcPr>
            <w:tcW w:type="dxa" w:w="2304"/>
            <w:shd w:fill="FFFFFF"/>
            <w:tcMar>
              <w:top w:w="120" w:type="dxa"/>
              <w:bottom w:w="120" w:type="dxa"/>
              <w:left w:w="160" w:type="dxa"/>
              <w:right w:w="160" w:type="dxa"/>
            </w:tcMar>
          </w:tcPr>
          <w:p>
            <w:pPr>
              <w:spacing w:before="0" w:after="0" w:line="276" w:lineRule="auto"/>
              <w:jc w:val="left"/>
            </w:pPr>
            <w:r>
              <w:rPr>
                <w:rFonts w:ascii="Arial" w:hAnsi="Arial"/>
                <w:color w:val="334155"/>
                <w:sz w:val="18"/>
              </w:rPr>
              <w:t>OpenRouter API</w:t>
            </w:r>
          </w:p>
        </w:tc>
        <w:tc>
          <w:tcPr>
            <w:tcW w:type="dxa" w:w="1440"/>
            <w:shd w:fill="FFFFFF"/>
            <w:tcMar>
              <w:top w:w="120" w:type="dxa"/>
              <w:bottom w:w="120" w:type="dxa"/>
              <w:left w:w="160" w:type="dxa"/>
              <w:right w:w="160" w:type="dxa"/>
            </w:tcMar>
          </w:tcPr>
          <w:p>
            <w:pPr>
              <w:spacing w:before="0" w:after="0" w:line="276" w:lineRule="auto"/>
              <w:jc w:val="left"/>
            </w:pPr>
            <w:r>
              <w:rPr>
                <w:rFonts w:ascii="Arial" w:hAnsi="Arial"/>
                <w:color w:val="334155"/>
                <w:sz w:val="18"/>
              </w:rPr>
              <w:t>REST v1</w:t>
            </w:r>
          </w:p>
        </w:tc>
        <w:tc>
          <w:tcPr>
            <w:tcW w:type="dxa" w:w="3456"/>
            <w:shd w:fill="FFFFFF"/>
            <w:tcMar>
              <w:top w:w="120" w:type="dxa"/>
              <w:bottom w:w="120" w:type="dxa"/>
              <w:left w:w="160" w:type="dxa"/>
              <w:right w:w="160" w:type="dxa"/>
            </w:tcMar>
          </w:tcPr>
          <w:p>
            <w:pPr>
              <w:spacing w:before="0" w:after="0" w:line="276" w:lineRule="auto"/>
              <w:jc w:val="left"/>
            </w:pPr>
            <w:r>
              <w:rPr>
                <w:rFonts w:ascii="Arial" w:hAnsi="Arial"/>
                <w:color w:val="334155"/>
                <w:sz w:val="18"/>
              </w:rPr>
              <w:t>Unified inference API across Claude 3.5, GPT-4o, Gemini 1.5, Llama 3.</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Prompt Workspace</w:t>
            </w:r>
          </w:p>
        </w:tc>
        <w:tc>
          <w:tcPr>
            <w:tcW w:type="dxa" w:w="2304"/>
            <w:shd w:fill="F8FAFC"/>
            <w:tcMar>
              <w:top w:w="120" w:type="dxa"/>
              <w:bottom w:w="120" w:type="dxa"/>
              <w:left w:w="160" w:type="dxa"/>
              <w:right w:w="160" w:type="dxa"/>
            </w:tcMar>
          </w:tcPr>
          <w:p>
            <w:pPr>
              <w:spacing w:before="0" w:after="0" w:line="276" w:lineRule="auto"/>
              <w:jc w:val="left"/>
            </w:pPr>
            <w:r>
              <w:rPr>
                <w:rFonts w:ascii="Arial" w:hAnsi="Arial"/>
                <w:color w:val="334155"/>
                <w:sz w:val="18"/>
              </w:rPr>
              <w:t>PromptDesk</w:t>
            </w:r>
          </w:p>
        </w:tc>
        <w:tc>
          <w:tcPr>
            <w:tcW w:type="dxa" w:w="1440"/>
            <w:shd w:fill="F8FAFC"/>
            <w:tcMar>
              <w:top w:w="120" w:type="dxa"/>
              <w:bottom w:w="120" w:type="dxa"/>
              <w:left w:w="160" w:type="dxa"/>
              <w:right w:w="160" w:type="dxa"/>
            </w:tcMar>
          </w:tcPr>
          <w:p>
            <w:pPr>
              <w:spacing w:before="0" w:after="0" w:line="276" w:lineRule="auto"/>
              <w:jc w:val="left"/>
            </w:pPr>
            <w:r>
              <w:rPr>
                <w:rFonts w:ascii="Arial" w:hAnsi="Arial"/>
                <w:color w:val="334155"/>
                <w:sz w:val="18"/>
              </w:rPr>
              <w:t>v1.0</w:t>
            </w:r>
          </w:p>
        </w:tc>
        <w:tc>
          <w:tcPr>
            <w:tcW w:type="dxa" w:w="3456"/>
            <w:shd w:fill="F8FAFC"/>
            <w:tcMar>
              <w:top w:w="120" w:type="dxa"/>
              <w:bottom w:w="120" w:type="dxa"/>
              <w:left w:w="160" w:type="dxa"/>
              <w:right w:w="160" w:type="dxa"/>
            </w:tcMar>
          </w:tcPr>
          <w:p>
            <w:pPr>
              <w:spacing w:before="0" w:after="0" w:line="276" w:lineRule="auto"/>
              <w:jc w:val="left"/>
            </w:pPr>
            <w:r>
              <w:rPr>
                <w:rFonts w:ascii="Arial" w:hAnsi="Arial"/>
                <w:color w:val="334155"/>
                <w:sz w:val="18"/>
              </w:rPr>
              <w:t>Prompt engineering workspace, multi-model evaluation, and testing.</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AI Pair Assistant</w:t>
            </w:r>
          </w:p>
        </w:tc>
        <w:tc>
          <w:tcPr>
            <w:tcW w:type="dxa" w:w="2304"/>
            <w:shd w:fill="FFFFFF"/>
            <w:tcMar>
              <w:top w:w="120" w:type="dxa"/>
              <w:bottom w:w="120" w:type="dxa"/>
              <w:left w:w="160" w:type="dxa"/>
              <w:right w:w="160" w:type="dxa"/>
            </w:tcMar>
          </w:tcPr>
          <w:p>
            <w:pPr>
              <w:spacing w:before="0" w:after="0" w:line="276" w:lineRule="auto"/>
              <w:jc w:val="left"/>
            </w:pPr>
            <w:r>
              <w:rPr>
                <w:rFonts w:ascii="Arial" w:hAnsi="Arial"/>
                <w:color w:val="334155"/>
                <w:sz w:val="18"/>
              </w:rPr>
              <w:t>Google Antigravity</w:t>
            </w:r>
          </w:p>
        </w:tc>
        <w:tc>
          <w:tcPr>
            <w:tcW w:type="dxa" w:w="1440"/>
            <w:shd w:fill="FFFFFF"/>
            <w:tcMar>
              <w:top w:w="120" w:type="dxa"/>
              <w:bottom w:w="120" w:type="dxa"/>
              <w:left w:w="160" w:type="dxa"/>
              <w:right w:w="160" w:type="dxa"/>
            </w:tcMar>
          </w:tcPr>
          <w:p>
            <w:pPr>
              <w:spacing w:before="0" w:after="0" w:line="276" w:lineRule="auto"/>
              <w:jc w:val="left"/>
            </w:pPr>
            <w:r>
              <w:rPr>
                <w:rFonts w:ascii="Arial" w:hAnsi="Arial"/>
                <w:color w:val="334155"/>
                <w:sz w:val="18"/>
              </w:rPr>
              <w:t>Agentic IDE</w:t>
            </w:r>
          </w:p>
        </w:tc>
        <w:tc>
          <w:tcPr>
            <w:tcW w:type="dxa" w:w="3456"/>
            <w:shd w:fill="FFFFFF"/>
            <w:tcMar>
              <w:top w:w="120" w:type="dxa"/>
              <w:bottom w:w="120" w:type="dxa"/>
              <w:left w:w="160" w:type="dxa"/>
              <w:right w:w="160" w:type="dxa"/>
            </w:tcMar>
          </w:tcPr>
          <w:p>
            <w:pPr>
              <w:spacing w:before="0" w:after="0" w:line="276" w:lineRule="auto"/>
              <w:jc w:val="left"/>
            </w:pPr>
            <w:r>
              <w:rPr>
                <w:rFonts w:ascii="Arial" w:hAnsi="Arial"/>
                <w:color w:val="334155"/>
                <w:sz w:val="18"/>
              </w:rPr>
              <w:t>Autonomous coding, debugging, test generation, and Git orchestration.</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Unit Testing</w:t>
            </w:r>
          </w:p>
        </w:tc>
        <w:tc>
          <w:tcPr>
            <w:tcW w:type="dxa" w:w="2304"/>
            <w:shd w:fill="F8FAFC"/>
            <w:tcMar>
              <w:top w:w="120" w:type="dxa"/>
              <w:bottom w:w="120" w:type="dxa"/>
              <w:left w:w="160" w:type="dxa"/>
              <w:right w:w="160" w:type="dxa"/>
            </w:tcMar>
          </w:tcPr>
          <w:p>
            <w:pPr>
              <w:spacing w:before="0" w:after="0" w:line="276" w:lineRule="auto"/>
              <w:jc w:val="left"/>
            </w:pPr>
            <w:r>
              <w:rPr>
                <w:rFonts w:ascii="Arial" w:hAnsi="Arial"/>
                <w:color w:val="334155"/>
                <w:sz w:val="18"/>
              </w:rPr>
              <w:t>Vitest</w:t>
            </w:r>
          </w:p>
        </w:tc>
        <w:tc>
          <w:tcPr>
            <w:tcW w:type="dxa" w:w="1440"/>
            <w:shd w:fill="F8FAFC"/>
            <w:tcMar>
              <w:top w:w="120" w:type="dxa"/>
              <w:bottom w:w="120" w:type="dxa"/>
              <w:left w:w="160" w:type="dxa"/>
              <w:right w:w="160" w:type="dxa"/>
            </w:tcMar>
          </w:tcPr>
          <w:p>
            <w:pPr>
              <w:spacing w:before="0" w:after="0" w:line="276" w:lineRule="auto"/>
              <w:jc w:val="left"/>
            </w:pPr>
            <w:r>
              <w:rPr>
                <w:rFonts w:ascii="Arial" w:hAnsi="Arial"/>
                <w:color w:val="334155"/>
                <w:sz w:val="18"/>
              </w:rPr>
              <w:t>^4.1.10</w:t>
            </w:r>
          </w:p>
        </w:tc>
        <w:tc>
          <w:tcPr>
            <w:tcW w:type="dxa" w:w="3456"/>
            <w:shd w:fill="F8FAFC"/>
            <w:tcMar>
              <w:top w:w="120" w:type="dxa"/>
              <w:bottom w:w="120" w:type="dxa"/>
              <w:left w:w="160" w:type="dxa"/>
              <w:right w:w="160" w:type="dxa"/>
            </w:tcMar>
          </w:tcPr>
          <w:p>
            <w:pPr>
              <w:spacing w:before="0" w:after="0" w:line="276" w:lineRule="auto"/>
              <w:jc w:val="left"/>
            </w:pPr>
            <w:r>
              <w:rPr>
                <w:rFonts w:ascii="Arial" w:hAnsi="Arial"/>
                <w:color w:val="334155"/>
                <w:sz w:val="18"/>
              </w:rPr>
              <w:t>Lightning-fast unit testing suite with coverage for all parser edge cases.</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CI / CD</w:t>
            </w:r>
          </w:p>
        </w:tc>
        <w:tc>
          <w:tcPr>
            <w:tcW w:type="dxa" w:w="2304"/>
            <w:shd w:fill="FFFFFF"/>
            <w:tcMar>
              <w:top w:w="120" w:type="dxa"/>
              <w:bottom w:w="120" w:type="dxa"/>
              <w:left w:w="160" w:type="dxa"/>
              <w:right w:w="160" w:type="dxa"/>
            </w:tcMar>
          </w:tcPr>
          <w:p>
            <w:pPr>
              <w:spacing w:before="0" w:after="0" w:line="276" w:lineRule="auto"/>
              <w:jc w:val="left"/>
            </w:pPr>
            <w:r>
              <w:rPr>
                <w:rFonts w:ascii="Arial" w:hAnsi="Arial"/>
                <w:color w:val="334155"/>
                <w:sz w:val="18"/>
              </w:rPr>
              <w:t>GitHub Actions</w:t>
            </w:r>
          </w:p>
        </w:tc>
        <w:tc>
          <w:tcPr>
            <w:tcW w:type="dxa" w:w="1440"/>
            <w:shd w:fill="FFFFFF"/>
            <w:tcMar>
              <w:top w:w="120" w:type="dxa"/>
              <w:bottom w:w="120" w:type="dxa"/>
              <w:left w:w="160" w:type="dxa"/>
              <w:right w:w="160" w:type="dxa"/>
            </w:tcMar>
          </w:tcPr>
          <w:p>
            <w:pPr>
              <w:spacing w:before="0" w:after="0" w:line="276" w:lineRule="auto"/>
              <w:jc w:val="left"/>
            </w:pPr>
            <w:r>
              <w:rPr>
                <w:rFonts w:ascii="Arial" w:hAnsi="Arial"/>
                <w:color w:val="334155"/>
                <w:sz w:val="18"/>
              </w:rPr>
              <w:t>v4</w:t>
            </w:r>
          </w:p>
        </w:tc>
        <w:tc>
          <w:tcPr>
            <w:tcW w:type="dxa" w:w="3456"/>
            <w:shd w:fill="FFFFFF"/>
            <w:tcMar>
              <w:top w:w="120" w:type="dxa"/>
              <w:bottom w:w="120" w:type="dxa"/>
              <w:left w:w="160" w:type="dxa"/>
              <w:right w:w="160" w:type="dxa"/>
            </w:tcMar>
          </w:tcPr>
          <w:p>
            <w:pPr>
              <w:spacing w:before="0" w:after="0" w:line="276" w:lineRule="auto"/>
              <w:jc w:val="left"/>
            </w:pPr>
            <w:r>
              <w:rPr>
                <w:rFonts w:ascii="Arial" w:hAnsi="Arial"/>
                <w:color w:val="334155"/>
                <w:sz w:val="18"/>
              </w:rPr>
              <w:t>Automated test runner and deployment pipeline for GitHub Pages.</w:t>
            </w:r>
          </w:p>
        </w:tc>
      </w:tr>
      <w:tr>
        <w:tc>
          <w:tcPr>
            <w:tcW w:type="dxa" w:w="2160"/>
            <w:shd w:fill="F8FAFC"/>
            <w:tcMar>
              <w:top w:w="120" w:type="dxa"/>
              <w:bottom w:w="120" w:type="dxa"/>
              <w:left w:w="160" w:type="dxa"/>
              <w:right w:w="160" w:type="dxa"/>
            </w:tcMar>
          </w:tcPr>
          <w:p>
            <w:pPr>
              <w:spacing w:before="0" w:after="0" w:line="276" w:lineRule="auto"/>
              <w:jc w:val="left"/>
            </w:pPr>
            <w:r>
              <w:rPr>
                <w:rFonts w:ascii="Arial" w:hAnsi="Arial"/>
                <w:color w:val="334155"/>
                <w:sz w:val="18"/>
              </w:rPr>
              <w:t>Production Hosting</w:t>
            </w:r>
          </w:p>
        </w:tc>
        <w:tc>
          <w:tcPr>
            <w:tcW w:type="dxa" w:w="2304"/>
            <w:shd w:fill="F8FAFC"/>
            <w:tcMar>
              <w:top w:w="120" w:type="dxa"/>
              <w:bottom w:w="120" w:type="dxa"/>
              <w:left w:w="160" w:type="dxa"/>
              <w:right w:w="160" w:type="dxa"/>
            </w:tcMar>
          </w:tcPr>
          <w:p>
            <w:pPr>
              <w:spacing w:before="0" w:after="0" w:line="276" w:lineRule="auto"/>
              <w:jc w:val="left"/>
            </w:pPr>
            <w:r>
              <w:rPr>
                <w:rFonts w:ascii="Arial" w:hAnsi="Arial"/>
                <w:color w:val="334155"/>
                <w:sz w:val="18"/>
              </w:rPr>
              <w:t>Vercel Platform</w:t>
            </w:r>
          </w:p>
        </w:tc>
        <w:tc>
          <w:tcPr>
            <w:tcW w:type="dxa" w:w="1440"/>
            <w:shd w:fill="F8FAFC"/>
            <w:tcMar>
              <w:top w:w="120" w:type="dxa"/>
              <w:bottom w:w="120" w:type="dxa"/>
              <w:left w:w="160" w:type="dxa"/>
              <w:right w:w="160" w:type="dxa"/>
            </w:tcMar>
          </w:tcPr>
          <w:p>
            <w:pPr>
              <w:spacing w:before="0" w:after="0" w:line="276" w:lineRule="auto"/>
              <w:jc w:val="left"/>
            </w:pPr>
            <w:r>
              <w:rPr>
                <w:rFonts w:ascii="Arial" w:hAnsi="Arial"/>
                <w:color w:val="334155"/>
                <w:sz w:val="18"/>
              </w:rPr>
              <w:t>Production</w:t>
            </w:r>
          </w:p>
        </w:tc>
        <w:tc>
          <w:tcPr>
            <w:tcW w:type="dxa" w:w="3456"/>
            <w:shd w:fill="F8FAFC"/>
            <w:tcMar>
              <w:top w:w="120" w:type="dxa"/>
              <w:bottom w:w="120" w:type="dxa"/>
              <w:left w:w="160" w:type="dxa"/>
              <w:right w:w="160" w:type="dxa"/>
            </w:tcMar>
          </w:tcPr>
          <w:p>
            <w:pPr>
              <w:spacing w:before="0" w:after="0" w:line="276" w:lineRule="auto"/>
              <w:jc w:val="left"/>
            </w:pPr>
            <w:r>
              <w:rPr>
                <w:rFonts w:ascii="Arial" w:hAnsi="Arial"/>
                <w:color w:val="334155"/>
                <w:sz w:val="18"/>
              </w:rPr>
              <w:t>Global edge network hosting frontend SPA and serverless API functions.</w:t>
            </w:r>
          </w:p>
        </w:tc>
      </w:tr>
      <w:tr>
        <w:tc>
          <w:tcPr>
            <w:tcW w:type="dxa" w:w="2160"/>
            <w:shd w:fill="FFFFFF"/>
            <w:tcMar>
              <w:top w:w="120" w:type="dxa"/>
              <w:bottom w:w="120" w:type="dxa"/>
              <w:left w:w="160" w:type="dxa"/>
              <w:right w:w="160" w:type="dxa"/>
            </w:tcMar>
          </w:tcPr>
          <w:p>
            <w:pPr>
              <w:spacing w:before="0" w:after="0" w:line="276" w:lineRule="auto"/>
              <w:jc w:val="left"/>
            </w:pPr>
            <w:r>
              <w:rPr>
                <w:rFonts w:ascii="Arial" w:hAnsi="Arial"/>
                <w:color w:val="334155"/>
                <w:sz w:val="18"/>
              </w:rPr>
              <w:t>Static Hosting</w:t>
            </w:r>
          </w:p>
        </w:tc>
        <w:tc>
          <w:tcPr>
            <w:tcW w:type="dxa" w:w="2304"/>
            <w:shd w:fill="FFFFFF"/>
            <w:tcMar>
              <w:top w:w="120" w:type="dxa"/>
              <w:bottom w:w="120" w:type="dxa"/>
              <w:left w:w="160" w:type="dxa"/>
              <w:right w:w="160" w:type="dxa"/>
            </w:tcMar>
          </w:tcPr>
          <w:p>
            <w:pPr>
              <w:spacing w:before="0" w:after="0" w:line="276" w:lineRule="auto"/>
              <w:jc w:val="left"/>
            </w:pPr>
            <w:r>
              <w:rPr>
                <w:rFonts w:ascii="Arial" w:hAnsi="Arial"/>
                <w:color w:val="334155"/>
                <w:sz w:val="18"/>
              </w:rPr>
              <w:t>GitHub Pages</w:t>
            </w:r>
          </w:p>
        </w:tc>
        <w:tc>
          <w:tcPr>
            <w:tcW w:type="dxa" w:w="1440"/>
            <w:shd w:fill="FFFFFF"/>
            <w:tcMar>
              <w:top w:w="120" w:type="dxa"/>
              <w:bottom w:w="120" w:type="dxa"/>
              <w:left w:w="160" w:type="dxa"/>
              <w:right w:w="160" w:type="dxa"/>
            </w:tcMar>
          </w:tcPr>
          <w:p>
            <w:pPr>
              <w:spacing w:before="0" w:after="0" w:line="276" w:lineRule="auto"/>
              <w:jc w:val="left"/>
            </w:pPr>
            <w:r>
              <w:rPr>
                <w:rFonts w:ascii="Arial" w:hAnsi="Arial"/>
                <w:color w:val="334155"/>
                <w:sz w:val="18"/>
              </w:rPr>
              <w:t>gh-pages</w:t>
            </w:r>
          </w:p>
        </w:tc>
        <w:tc>
          <w:tcPr>
            <w:tcW w:type="dxa" w:w="3456"/>
            <w:shd w:fill="FFFFFF"/>
            <w:tcMar>
              <w:top w:w="120" w:type="dxa"/>
              <w:bottom w:w="120" w:type="dxa"/>
              <w:left w:w="160" w:type="dxa"/>
              <w:right w:w="160" w:type="dxa"/>
            </w:tcMar>
          </w:tcPr>
          <w:p>
            <w:pPr>
              <w:spacing w:before="0" w:after="0" w:line="276" w:lineRule="auto"/>
              <w:jc w:val="left"/>
            </w:pPr>
            <w:r>
              <w:rPr>
                <w:rFonts w:ascii="Arial" w:hAnsi="Arial"/>
                <w:color w:val="334155"/>
                <w:sz w:val="18"/>
              </w:rPr>
              <w:t>Secondary static deployment channel with continuous GitHub Actions.</w:t>
            </w:r>
          </w:p>
        </w:tc>
      </w:tr>
    </w:tbl>
    <w:p>
      <w:pPr>
        <w:spacing w:before="0" w:after="120"/>
      </w:pPr>
    </w:p>
    <w:p>
      <w:pPr>
        <w:keepNext/>
        <w:spacing w:before="360" w:after="120"/>
        <w:pBdr>
          <w:bottom w:val="single" w:sz="12" w:space="4" w:color="2563EB"/>
        </w:pBdr>
      </w:pPr>
      <w:r>
        <w:rPr>
          <w:rFonts w:ascii="Arial" w:hAnsi="Arial"/>
          <w:b/>
          <w:color w:val="1E3A8A"/>
          <w:sz w:val="32"/>
        </w:rPr>
        <w:t>9. Defensibility &amp; Compliance Verification</w:t>
      </w:r>
    </w:p>
    <w:p>
      <w:pPr>
        <w:spacing w:before="0" w:after="120" w:line="276" w:lineRule="auto"/>
      </w:pPr>
      <w:r>
        <w:rPr>
          <w:rFonts w:ascii="Arial" w:hAnsi="Arial"/>
          <w:color w:val="334155"/>
          <w:sz w:val="20"/>
        </w:rPr>
        <w:t>All requirements specified under Task A and Task B of the Digital Heroes Qualification have been met or exceeded. The application is live at https://digitalhero-six.vercel.app/, the codebase is maintained in a clean, public GitHub repository (https://github.com/bhartalayush/Page-Pulse), and the mandatory credit line ('Built for Digital Heroes Training Task by Ayush Bhartal') is prominently displayed in the footer with verified backlink to digitalheroesco.com.</w:t>
      </w:r>
    </w:p>
    <w:p>
      <w:pPr>
        <w:spacing w:before="0" w:after="120" w:line="276" w:lineRule="auto"/>
      </w:pPr>
      <w:r>
        <w:rPr>
          <w:rFonts w:ascii="Arial" w:hAnsi="Arial"/>
          <w:color w:val="334155"/>
          <w:sz w:val="20"/>
        </w:rPr>
        <w:t>This document stands as the definitive technical reference for the architecture, dependencies, and integration protocols powering Page Pulse and PromptDesk.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Digital Heroes Training Task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Page Pulse &amp; PromptDesk | Technical Stack &amp;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