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C20B" w14:textId="77777777" w:rsidR="00C03B1E" w:rsidRDefault="00000000" w:rsidP="00D43FEC">
      <w:pPr>
        <w:jc w:val="center"/>
      </w:pPr>
      <w:r>
        <w:rPr>
          <w:rFonts w:ascii="Times New Roman" w:hAnsi="Times New Roman"/>
          <w:b/>
          <w:sz w:val="20"/>
        </w:rPr>
        <w:t>SUPPLEMENTAL MATERIALS</w:t>
      </w:r>
    </w:p>
    <w:p w14:paraId="4C1007EC" w14:textId="77777777" w:rsidR="00C03B1E" w:rsidRDefault="00000000" w:rsidP="00D43FEC">
      <w:pPr>
        <w:jc w:val="center"/>
      </w:pPr>
      <w:r>
        <w:rPr>
          <w:rFonts w:ascii="Times New Roman" w:hAnsi="Times New Roman"/>
          <w:b/>
          <w:sz w:val="20"/>
        </w:rPr>
        <w:t>TARGET-RESPONSE-BLIND PORTABILITY AUDIT OF SPARSE AXIAL-LOAD MONITORING LAYOUTS FOR PILES UNDER LIQUEFACTION-INDUCED DOWNDRAG</w:t>
      </w:r>
    </w:p>
    <w:p w14:paraId="1E0CC01A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Complete notation, secondary checks and supporting result tables. The main manuscript defines the primary claims; these materials retain all secondary evidence and assumptions.</w:t>
      </w:r>
    </w:p>
    <w:p w14:paraId="6A327757" w14:textId="77777777" w:rsidR="00C03B1E" w:rsidRDefault="00000000">
      <w:r>
        <w:rPr>
          <w:rFonts w:ascii="Times New Roman" w:hAnsi="Times New Roman"/>
          <w:b/>
          <w:sz w:val="20"/>
        </w:rPr>
        <w:t>Notation</w:t>
      </w:r>
    </w:p>
    <w:p w14:paraId="2D1932E7" w14:textId="77777777" w:rsidR="00C03B1E" w:rsidRDefault="00000000">
      <w:r>
        <w:rPr>
          <w:rFonts w:ascii="Times New Roman" w:hAnsi="Times New Roman"/>
          <w:sz w:val="20"/>
        </w:rPr>
        <w:t>The following symbols are used in the main text and these materials:</w:t>
      </w:r>
    </w:p>
    <w:tbl>
      <w:tblPr>
        <w:tblW w:w="936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DF4162" w:rsidRPr="009A7383" w14:paraId="4BCB6B2E" w14:textId="77777777">
        <w:trPr>
          <w:cantSplit/>
          <w:tblHeader/>
          <w:jc w:val="center"/>
        </w:trPr>
        <w:tc>
          <w:tcPr>
            <w:tcW w:w="2232" w:type="dxa"/>
            <w:tcBorders>
              <w:bottom w:val="single" w:sz="6" w:space="0" w:color="auto"/>
            </w:tcBorders>
            <w:vAlign w:val="center"/>
          </w:tcPr>
          <w:p w14:paraId="3AC289C8" w14:textId="77777777" w:rsidR="00DF4162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Symbol</w:t>
            </w:r>
          </w:p>
        </w:tc>
        <w:tc>
          <w:tcPr>
            <w:tcW w:w="7128" w:type="dxa"/>
            <w:tcBorders>
              <w:bottom w:val="single" w:sz="6" w:space="0" w:color="auto"/>
            </w:tcBorders>
            <w:vAlign w:val="center"/>
          </w:tcPr>
          <w:p w14:paraId="542C8A88" w14:textId="77777777" w:rsidR="00C03B1E" w:rsidRDefault="00000000">
            <w:r>
              <w:rPr>
                <w:rFonts w:ascii="Times New Roman" w:hAnsi="Times New Roman"/>
                <w:b/>
                <w:sz w:val="20"/>
              </w:rPr>
              <w:t>Definition</w:t>
            </w:r>
          </w:p>
        </w:tc>
      </w:tr>
      <w:tr w:rsidR="00DF4162" w:rsidRPr="009A7383" w14:paraId="665E8B8B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5DBB381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CI</w:t>
            </w:r>
            <w:r>
              <w:rPr>
                <w:rFonts w:ascii="Times New Roman" w:hAnsi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  <w:vertAlign w:val="subscript"/>
              </w:rPr>
              <w:t>95</w:t>
            </w:r>
          </w:p>
        </w:tc>
        <w:tc>
          <w:tcPr>
            <w:tcW w:w="7128" w:type="dxa"/>
            <w:vAlign w:val="center"/>
          </w:tcPr>
          <w:p w14:paraId="68823600" w14:textId="77777777" w:rsidR="00C03B1E" w:rsidRDefault="00000000">
            <w:r>
              <w:rPr>
                <w:rFonts w:ascii="Times New Roman" w:hAnsi="Times New Roman"/>
                <w:sz w:val="20"/>
              </w:rPr>
              <w:t>descriptive 95% earthquake-cluster bootstrap interval;</w:t>
            </w:r>
          </w:p>
        </w:tc>
      </w:tr>
      <w:tr w:rsidR="00DF4162" w:rsidRPr="009A7383" w14:paraId="6140F02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41C42C4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</w:t>
            </w:r>
            <w:r>
              <w:rPr>
                <w:rFonts w:ascii="Times New Roman" w:hAnsi="Times New Roman"/>
                <w:sz w:val="20"/>
                <w:vertAlign w:val="subscript"/>
              </w:rPr>
              <w:t>b</w:t>
            </w:r>
          </w:p>
        </w:tc>
        <w:tc>
          <w:tcPr>
            <w:tcW w:w="7128" w:type="dxa"/>
            <w:vAlign w:val="center"/>
          </w:tcPr>
          <w:p w14:paraId="5B3A28ED" w14:textId="77777777" w:rsidR="00C03B1E" w:rsidRDefault="00000000">
            <w:r>
              <w:rPr>
                <w:rFonts w:ascii="Times New Roman" w:hAnsi="Times New Roman"/>
                <w:sz w:val="20"/>
              </w:rPr>
              <w:t>complete set of admissible layouts for budget b;</w:t>
            </w:r>
          </w:p>
        </w:tc>
      </w:tr>
      <w:tr w:rsidR="00DF4162" w:rsidRPr="009A7383" w14:paraId="756FD4D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348E846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w="7128" w:type="dxa"/>
            <w:vAlign w:val="center"/>
          </w:tcPr>
          <w:p w14:paraId="6F038770" w14:textId="77777777" w:rsidR="00C03B1E" w:rsidRDefault="00000000">
            <w:r>
              <w:rPr>
                <w:rFonts w:ascii="Times New Roman" w:hAnsi="Times New Roman"/>
                <w:sz w:val="20"/>
              </w:rPr>
              <w:t>candidate set of measured station locations;</w:t>
            </w:r>
          </w:p>
        </w:tc>
      </w:tr>
      <w:tr w:rsidR="00DF4162" w:rsidRPr="009A7383" w14:paraId="7EB5718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E4601D1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S,b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7128" w:type="dxa"/>
            <w:vAlign w:val="center"/>
          </w:tcPr>
          <w:p w14:paraId="3EC09F8B" w14:textId="77777777" w:rsidR="00C03B1E" w:rsidRDefault="00000000">
            <w:r>
              <w:rPr>
                <w:rFonts w:ascii="Times New Roman" w:hAnsi="Times New Roman"/>
                <w:sz w:val="20"/>
              </w:rPr>
              <w:t>layout selected on source test S for budget b;</w:t>
            </w:r>
          </w:p>
        </w:tc>
      </w:tr>
      <w:tr w:rsidR="00DF4162" w:rsidRPr="009A7383" w14:paraId="0C0D72C3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1D26187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z w:val="20"/>
                <w:vertAlign w:val="subscript"/>
              </w:rPr>
              <w:t>pe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  <w:vAlign w:val="center"/>
          </w:tcPr>
          <w:p w14:paraId="4EF44525" w14:textId="77777777" w:rsidR="00C03B1E" w:rsidRDefault="00000000">
            <w:r>
              <w:rPr>
                <w:rFonts w:ascii="Times New Roman" w:hAnsi="Times New Roman"/>
                <w:sz w:val="20"/>
              </w:rPr>
              <w:t>pile–event 90th-percentile NRMSE for layout D;</w:t>
            </w:r>
          </w:p>
        </w:tc>
      </w:tr>
      <w:tr w:rsidR="00DF4162" w:rsidRPr="009A7383" w14:paraId="592E11A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AF85FE7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w="7128" w:type="dxa"/>
            <w:vAlign w:val="center"/>
          </w:tcPr>
          <w:p w14:paraId="2584228C" w14:textId="77777777" w:rsidR="00C03B1E" w:rsidRDefault="00000000">
            <w:r>
              <w:rPr>
                <w:rFonts w:ascii="Times New Roman" w:hAnsi="Times New Roman"/>
                <w:sz w:val="20"/>
              </w:rPr>
              <w:t>set of common measured gauge levels;</w:t>
            </w:r>
          </w:p>
        </w:tc>
      </w:tr>
      <w:tr w:rsidR="00DF4162" w:rsidRPr="009A7383" w14:paraId="0A6F6E6D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7670CE0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I[·]</w:t>
            </w:r>
          </w:p>
        </w:tc>
        <w:tc>
          <w:tcPr>
            <w:tcW w:w="7128" w:type="dxa"/>
            <w:vAlign w:val="center"/>
          </w:tcPr>
          <w:p w14:paraId="2765E0D7" w14:textId="77777777" w:rsidR="00C03B1E" w:rsidRDefault="00000000">
            <w:r>
              <w:rPr>
                <w:rFonts w:ascii="Times New Roman" w:hAnsi="Times New Roman"/>
                <w:sz w:val="20"/>
              </w:rPr>
              <w:t>indicator function;</w:t>
            </w:r>
          </w:p>
        </w:tc>
      </w:tr>
      <w:tr w:rsidR="00DF4162" w:rsidRPr="009A7383" w14:paraId="42D2CBF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FEC08A9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S,b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7128" w:type="dxa"/>
            <w:vAlign w:val="center"/>
          </w:tcPr>
          <w:p w14:paraId="4D153D05" w14:textId="77777777" w:rsidR="00C03B1E" w:rsidRDefault="00000000">
            <w:r>
              <w:rPr>
                <w:rFonts w:ascii="Times New Roman" w:hAnsi="Times New Roman"/>
                <w:sz w:val="20"/>
              </w:rPr>
              <w:t>fraction of admissible target layouts outperformed by the frozen source-selected layout;</w:t>
            </w:r>
          </w:p>
        </w:tc>
      </w:tr>
      <w:tr w:rsidR="00DF4162" w:rsidRPr="009A7383" w14:paraId="35CD220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BE6E8AB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Q</w:t>
            </w:r>
            <w:r>
              <w:rPr>
                <w:rFonts w:ascii="Times New Roman" w:hAnsi="Times New Roman"/>
                <w:sz w:val="20"/>
                <w:vertAlign w:val="subscript"/>
              </w:rPr>
              <w:t>pet</w:t>
            </w:r>
            <w:r>
              <w:rPr>
                <w:rFonts w:ascii="Times New Roman" w:hAnsi="Times New Roman"/>
                <w:sz w:val="20"/>
              </w:rPr>
              <w:t>(z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7128" w:type="dxa"/>
            <w:vAlign w:val="center"/>
          </w:tcPr>
          <w:p w14:paraId="5478B539" w14:textId="77777777" w:rsidR="00C03B1E" w:rsidRDefault="00000000">
            <w:r>
              <w:rPr>
                <w:rFonts w:ascii="Times New Roman" w:hAnsi="Times New Roman"/>
                <w:sz w:val="20"/>
              </w:rPr>
              <w:t>measured axial load at normalised depth z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20"/>
              </w:rPr>
              <w:t>;</w:t>
            </w:r>
          </w:p>
        </w:tc>
      </w:tr>
      <w:tr w:rsidR="00DF4162" w:rsidRPr="009A7383" w14:paraId="0FE59DCF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9F239D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Q̂</w:t>
            </w:r>
            <w:r>
              <w:rPr>
                <w:rFonts w:ascii="Times New Roman" w:hAnsi="Times New Roman"/>
                <w:sz w:val="20"/>
                <w:vertAlign w:val="subscript"/>
              </w:rPr>
              <w:t>pet</w:t>
            </w:r>
            <w:r>
              <w:rPr>
                <w:rFonts w:ascii="Times New Roman" w:hAnsi="Times New Roman"/>
                <w:sz w:val="20"/>
              </w:rPr>
              <w:t>(z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20"/>
              </w:rPr>
              <w:t>|D)</w:t>
            </w:r>
          </w:p>
        </w:tc>
        <w:tc>
          <w:tcPr>
            <w:tcW w:w="7128" w:type="dxa"/>
            <w:vAlign w:val="center"/>
          </w:tcPr>
          <w:p w14:paraId="0925F2F0" w14:textId="77777777" w:rsidR="00C03B1E" w:rsidRDefault="00000000">
            <w:r>
              <w:rPr>
                <w:rFonts w:ascii="Times New Roman" w:hAnsi="Times New Roman"/>
                <w:sz w:val="20"/>
              </w:rPr>
              <w:t>axial load reconstructed from layout D;</w:t>
            </w:r>
          </w:p>
        </w:tc>
      </w:tr>
      <w:tr w:rsidR="00DF4162" w:rsidRPr="009A7383" w14:paraId="144A2BB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6E3BFA6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pet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7128" w:type="dxa"/>
            <w:vAlign w:val="center"/>
          </w:tcPr>
          <w:p w14:paraId="1A3C3F04" w14:textId="77777777" w:rsidR="00C03B1E" w:rsidRDefault="00000000">
            <w:r>
              <w:rPr>
                <w:rFonts w:ascii="Times New Roman" w:hAnsi="Times New Roman"/>
                <w:sz w:val="20"/>
              </w:rPr>
              <w:t>maximum measured axial load at sampled time t;</w:t>
            </w:r>
          </w:p>
        </w:tc>
      </w:tr>
      <w:tr w:rsidR="00DF4162" w:rsidRPr="009A7383" w14:paraId="218A8FF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C7C965F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Q</w:t>
            </w:r>
            <w:r>
              <w:rPr>
                <w:rFonts w:ascii="Times New Roman" w:hAnsi="Times New Roman"/>
                <w:sz w:val="20"/>
                <w:vertAlign w:val="superscript"/>
              </w:rPr>
              <w:t>(f)</w:t>
            </w:r>
            <w:r>
              <w:rPr>
                <w:rFonts w:ascii="Times New Roman" w:hAnsi="Times New Roman"/>
                <w:sz w:val="20"/>
              </w:rPr>
              <w:t>(z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7128" w:type="dxa"/>
            <w:vAlign w:val="center"/>
          </w:tcPr>
          <w:p w14:paraId="52A1BADD" w14:textId="77777777" w:rsidR="00C03B1E" w:rsidRDefault="00000000">
            <w:r>
              <w:rPr>
                <w:rFonts w:ascii="Times New Roman" w:hAnsi="Times New Roman"/>
                <w:sz w:val="20"/>
              </w:rPr>
              <w:t>published or digitally interpreted axial load at level i in independent profile f;</w:t>
            </w:r>
          </w:p>
        </w:tc>
      </w:tr>
      <w:tr w:rsidR="00DF4162" w:rsidRPr="009A7383" w14:paraId="136B5E0B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BC1F535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w="7128" w:type="dxa"/>
            <w:vAlign w:val="center"/>
          </w:tcPr>
          <w:p w14:paraId="3AE8E379" w14:textId="77777777" w:rsidR="00C03B1E" w:rsidRDefault="00000000">
            <w:r>
              <w:rPr>
                <w:rFonts w:ascii="Times New Roman" w:hAnsi="Times New Roman"/>
                <w:sz w:val="20"/>
              </w:rPr>
              <w:t>source physical test;</w:t>
            </w:r>
          </w:p>
        </w:tc>
      </w:tr>
      <w:tr w:rsidR="00DF4162" w:rsidRPr="009A7383" w14:paraId="4587116B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03919B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</w:t>
            </w:r>
            <w:r>
              <w:rPr>
                <w:rFonts w:ascii="Times New Roman" w:hAnsi="Times New Roman"/>
                <w:sz w:val="20"/>
                <w:vertAlign w:val="subscript"/>
              </w:rPr>
              <w:t>pe</w:t>
            </w:r>
          </w:p>
        </w:tc>
        <w:tc>
          <w:tcPr>
            <w:tcW w:w="7128" w:type="dxa"/>
            <w:vAlign w:val="center"/>
          </w:tcPr>
          <w:p w14:paraId="38F5B755" w14:textId="77777777" w:rsidR="00C03B1E" w:rsidRDefault="00000000">
            <w:r>
              <w:rPr>
                <w:rFonts w:ascii="Times New Roman" w:hAnsi="Times New Roman"/>
                <w:sz w:val="20"/>
              </w:rPr>
              <w:t>deterministically sampled times for a pile–event history;</w:t>
            </w:r>
          </w:p>
        </w:tc>
      </w:tr>
      <w:tr w:rsidR="00DF4162" w:rsidRPr="009A7383" w14:paraId="651F136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9B41208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U</w:t>
            </w:r>
            <w:r>
              <w:rPr>
                <w:rFonts w:ascii="Times New Roman" w:hAnsi="Times New Roman"/>
                <w:sz w:val="20"/>
                <w:vertAlign w:val="subscript"/>
              </w:rPr>
              <w:t>b</w:t>
            </w:r>
          </w:p>
        </w:tc>
        <w:tc>
          <w:tcPr>
            <w:tcW w:w="7128" w:type="dxa"/>
            <w:vAlign w:val="center"/>
          </w:tcPr>
          <w:p w14:paraId="3C24A6C8" w14:textId="77777777" w:rsidR="00C03B1E" w:rsidRDefault="00000000">
            <w:r>
              <w:rPr>
                <w:rFonts w:ascii="Times New Roman" w:hAnsi="Times New Roman"/>
                <w:sz w:val="20"/>
              </w:rPr>
              <w:t>uniform discrete comparator for budget b;</w:t>
            </w:r>
          </w:p>
        </w:tc>
      </w:tr>
      <w:tr w:rsidR="00DF4162" w:rsidRPr="009A7383" w14:paraId="1CAE42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4377070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w="7128" w:type="dxa"/>
            <w:vAlign w:val="center"/>
          </w:tcPr>
          <w:p w14:paraId="0DE170BA" w14:textId="77777777" w:rsidR="00C03B1E" w:rsidRDefault="00000000">
            <w:r>
              <w:rPr>
                <w:rFonts w:ascii="Times New Roman" w:hAnsi="Times New Roman"/>
                <w:sz w:val="20"/>
              </w:rPr>
              <w:t>number of additional stations beyond the fixed upper boundary;</w:t>
            </w:r>
          </w:p>
        </w:tc>
      </w:tr>
      <w:tr w:rsidR="00DF4162" w:rsidRPr="009A7383" w14:paraId="4FA8AA0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443758C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w="7128" w:type="dxa"/>
            <w:vAlign w:val="center"/>
          </w:tcPr>
          <w:p w14:paraId="0B0165BD" w14:textId="77777777" w:rsidR="00C03B1E" w:rsidRDefault="00000000">
            <w:r>
              <w:rPr>
                <w:rFonts w:ascii="Times New Roman" w:hAnsi="Times New Roman"/>
                <w:sz w:val="20"/>
              </w:rPr>
              <w:t>earthquake-event index;</w:t>
            </w:r>
          </w:p>
        </w:tc>
      </w:tr>
      <w:tr w:rsidR="00DF4162" w:rsidRPr="009A7383" w14:paraId="083A53C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48F8206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w="7128" w:type="dxa"/>
            <w:vAlign w:val="center"/>
          </w:tcPr>
          <w:p w14:paraId="607BCB7D" w14:textId="77777777" w:rsidR="00C03B1E" w:rsidRDefault="00000000">
            <w:r>
              <w:rPr>
                <w:rFonts w:ascii="Times New Roman" w:hAnsi="Times New Roman"/>
                <w:sz w:val="20"/>
              </w:rPr>
              <w:t>index of an external axial-load reference profile;</w:t>
            </w:r>
          </w:p>
        </w:tc>
      </w:tr>
      <w:tr w:rsidR="00DF4162" w:rsidRPr="009A7383" w14:paraId="6E18FFA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0ADADB3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i, j, k</w:t>
            </w:r>
          </w:p>
        </w:tc>
        <w:tc>
          <w:tcPr>
            <w:tcW w:w="7128" w:type="dxa"/>
            <w:vAlign w:val="center"/>
          </w:tcPr>
          <w:p w14:paraId="61ED77C7" w14:textId="77777777" w:rsidR="00C03B1E" w:rsidRDefault="00000000">
            <w:r>
              <w:rPr>
                <w:rFonts w:ascii="Times New Roman" w:hAnsi="Times New Roman"/>
                <w:sz w:val="20"/>
              </w:rPr>
              <w:t>measured-level indices;</w:t>
            </w:r>
          </w:p>
        </w:tc>
      </w:tr>
      <w:tr w:rsidR="00DF4162" w:rsidRPr="009A7383" w14:paraId="40BFA17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013CABC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pet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⋆</m:t>
                    </m:r>
                  </m:sup>
                </m:sSubSup>
              </m:oMath>
            </m:oMathPara>
          </w:p>
        </w:tc>
        <w:tc>
          <w:tcPr>
            <w:tcW w:w="7128" w:type="dxa"/>
            <w:vAlign w:val="center"/>
          </w:tcPr>
          <w:p w14:paraId="225562E5" w14:textId="77777777" w:rsidR="00C03B1E" w:rsidRDefault="00000000">
            <w:r>
              <w:rPr>
                <w:rFonts w:ascii="Times New Roman" w:hAnsi="Times New Roman"/>
                <w:sz w:val="20"/>
              </w:rPr>
              <w:t>index of the first measured-grid level attaining the maximum axial load;</w:t>
            </w:r>
          </w:p>
        </w:tc>
      </w:tr>
      <w:tr w:rsidR="00DF4162" w:rsidRPr="009A7383" w14:paraId="12D9847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2A13303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w="7128" w:type="dxa"/>
            <w:vAlign w:val="center"/>
          </w:tcPr>
          <w:p w14:paraId="4D2EAE17" w14:textId="77777777" w:rsidR="00C03B1E" w:rsidRDefault="00000000">
            <w:r>
              <w:rPr>
                <w:rFonts w:ascii="Times New Roman" w:hAnsi="Times New Roman"/>
                <w:sz w:val="20"/>
              </w:rPr>
              <w:t>number of measured reference levels;</w:t>
            </w:r>
          </w:p>
        </w:tc>
      </w:tr>
      <w:tr w:rsidR="00DF4162" w:rsidRPr="009A7383" w14:paraId="2C4B3CA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DBAC5F5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m</w:t>
            </w:r>
            <w:r>
              <w:rPr>
                <w:rFonts w:ascii="Times New Roman" w:hAnsi="Times New Roman"/>
                <w:sz w:val="20"/>
                <w:vertAlign w:val="superscript"/>
              </w:rPr>
              <w:t>(f)</w:t>
            </w:r>
          </w:p>
        </w:tc>
        <w:tc>
          <w:tcPr>
            <w:tcW w:w="7128" w:type="dxa"/>
            <w:vAlign w:val="center"/>
          </w:tcPr>
          <w:p w14:paraId="414918DA" w14:textId="77777777" w:rsidR="00C03B1E" w:rsidRDefault="00000000">
            <w:r>
              <w:rPr>
                <w:rFonts w:ascii="Times New Roman" w:hAnsi="Times New Roman"/>
                <w:sz w:val="20"/>
              </w:rPr>
              <w:t>number of published or digital reference levels in profile f;</w:t>
            </w:r>
          </w:p>
        </w:tc>
      </w:tr>
      <w:tr w:rsidR="00DF4162" w:rsidRPr="009A7383" w14:paraId="2541E3C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D62F496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n</w:t>
            </w:r>
            <w:r>
              <w:rPr>
                <w:rFonts w:ascii="Times New Roman" w:hAnsi="Times New Roman"/>
                <w:sz w:val="20"/>
                <w:vertAlign w:val="subscript"/>
              </w:rPr>
              <w:t>s</w:t>
            </w:r>
          </w:p>
        </w:tc>
        <w:tc>
          <w:tcPr>
            <w:tcW w:w="7128" w:type="dxa"/>
            <w:vAlign w:val="center"/>
          </w:tcPr>
          <w:p w14:paraId="384E0C7D" w14:textId="77777777" w:rsidR="00C03B1E" w:rsidRDefault="00000000">
            <w:r>
              <w:rPr>
                <w:rFonts w:ascii="Times New Roman" w:hAnsi="Times New Roman"/>
                <w:sz w:val="20"/>
              </w:rPr>
              <w:t>total retained station count, n</w:t>
            </w:r>
            <w:r>
              <w:rPr>
                <w:rFonts w:ascii="Times New Roman" w:hAnsi="Times New Roman"/>
                <w:sz w:val="20"/>
                <w:vertAlign w:val="subscript"/>
              </w:rPr>
              <w:t>s</w:t>
            </w:r>
            <w:r>
              <w:rPr>
                <w:rFonts w:ascii="Times New Roman" w:hAnsi="Times New Roman"/>
                <w:sz w:val="20"/>
              </w:rPr>
              <w:t xml:space="preserve"> = b + 1;</w:t>
            </w:r>
          </w:p>
        </w:tc>
      </w:tr>
      <w:tr w:rsidR="00CD4B0C" w:rsidRPr="009A7383" w14:paraId="1B088D6E" w14:textId="77777777">
        <w:trPr>
          <w:cantSplit/>
          <w:jc w:val="center"/>
        </w:trPr>
        <w:tc>
          <w:tcPr>
            <w:tcW w:w="2232" w:type="dxa"/>
          </w:tcPr>
          <w:p w14:paraId="6BCB8D33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w="7128" w:type="dxa"/>
          </w:tcPr>
          <w:p w14:paraId="7AF4C3CD" w14:textId="77777777" w:rsidR="00C03B1E" w:rsidRDefault="00000000">
            <w:r>
              <w:rPr>
                <w:rFonts w:ascii="Times New Roman" w:hAnsi="Times New Roman"/>
                <w:sz w:val="20"/>
              </w:rPr>
              <w:t>pile index;</w:t>
            </w:r>
          </w:p>
        </w:tc>
      </w:tr>
      <w:tr w:rsidR="00CD4B0C" w:rsidRPr="009A7383" w14:paraId="208335CA" w14:textId="77777777">
        <w:trPr>
          <w:cantSplit/>
          <w:jc w:val="center"/>
        </w:trPr>
        <w:tc>
          <w:tcPr>
            <w:tcW w:w="2232" w:type="dxa"/>
          </w:tcPr>
          <w:p w14:paraId="3226757A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0"/>
                  </w:rPr>
                  <m:t>{·}</m:t>
                </m:r>
              </m:oMath>
            </m:oMathPara>
          </w:p>
        </w:tc>
        <w:tc>
          <w:tcPr>
            <w:tcW w:w="7128" w:type="dxa"/>
          </w:tcPr>
          <w:p w14:paraId="08758BDC" w14:textId="77777777" w:rsidR="00C03B1E" w:rsidRDefault="00000000">
            <w:r>
              <w:rPr>
                <w:rFonts w:ascii="Times New Roman" w:hAnsi="Times New Roman"/>
                <w:sz w:val="20"/>
              </w:rPr>
              <w:t>empirical quantile at probability α;</w:t>
            </w:r>
          </w:p>
        </w:tc>
      </w:tr>
      <w:tr w:rsidR="00CD4B0C" w:rsidRPr="009A7383" w14:paraId="213E5E6A" w14:textId="77777777">
        <w:trPr>
          <w:cantSplit/>
          <w:jc w:val="center"/>
        </w:trPr>
        <w:tc>
          <w:tcPr>
            <w:tcW w:w="2232" w:type="dxa"/>
          </w:tcPr>
          <w:p w14:paraId="64B34911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r</w:t>
            </w:r>
            <w:r>
              <w:rPr>
                <w:rFonts w:ascii="Times New Roman" w:hAnsi="Times New Roman"/>
                <w:sz w:val="20"/>
                <w:vertAlign w:val="subscript"/>
              </w:rPr>
              <w:t>pet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</w:tcPr>
          <w:p w14:paraId="4D070457" w14:textId="77777777" w:rsidR="00C03B1E" w:rsidRDefault="00000000">
            <w:r>
              <w:rPr>
                <w:rFonts w:ascii="Times New Roman" w:hAnsi="Times New Roman"/>
                <w:sz w:val="20"/>
              </w:rPr>
              <w:t>snapshot NRMSE;</w:t>
            </w:r>
          </w:p>
        </w:tc>
      </w:tr>
      <w:tr w:rsidR="00CD4B0C" w:rsidRPr="009A7383" w14:paraId="4E6523D5" w14:textId="77777777">
        <w:trPr>
          <w:cantSplit/>
          <w:jc w:val="center"/>
        </w:trPr>
        <w:tc>
          <w:tcPr>
            <w:tcW w:w="2232" w:type="dxa"/>
          </w:tcPr>
          <w:p w14:paraId="70B8D60E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r</w:t>
            </w:r>
            <w:r>
              <w:rPr>
                <w:rFonts w:ascii="Times New Roman" w:hAnsi="Times New Roman"/>
                <w:sz w:val="20"/>
                <w:vertAlign w:val="superscript"/>
              </w:rPr>
              <w:t>(f)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</w:tcPr>
          <w:p w14:paraId="7DF8D736" w14:textId="77777777" w:rsidR="00C03B1E" w:rsidRDefault="00000000">
            <w:r>
              <w:rPr>
                <w:rFonts w:ascii="Times New Roman" w:hAnsi="Times New Roman"/>
                <w:sz w:val="20"/>
              </w:rPr>
              <w:t>static-profile NRMSE for layout D in independent profile f;</w:t>
            </w:r>
          </w:p>
        </w:tc>
      </w:tr>
      <w:tr w:rsidR="00CD4B0C" w:rsidRPr="009A7383" w14:paraId="03990B0B" w14:textId="77777777">
        <w:trPr>
          <w:cantSplit/>
          <w:jc w:val="center"/>
        </w:trPr>
        <w:tc>
          <w:tcPr>
            <w:tcW w:w="2232" w:type="dxa"/>
          </w:tcPr>
          <w:p w14:paraId="191C8DE7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</w:t>
            </w:r>
            <w:r>
              <w:rPr>
                <w:rFonts w:ascii="Times New Roman" w:hAnsi="Times New Roman"/>
                <w:sz w:val="20"/>
                <w:vertAlign w:val="subscript"/>
              </w:rPr>
              <w:t>0</w:t>
            </w:r>
          </w:p>
        </w:tc>
        <w:tc>
          <w:tcPr>
            <w:tcW w:w="7128" w:type="dxa"/>
          </w:tcPr>
          <w:p w14:paraId="777CA37E" w14:textId="77777777" w:rsidR="00C03B1E" w:rsidRDefault="00000000">
            <w:r>
              <w:rPr>
                <w:rFonts w:ascii="Times New Roman" w:hAnsi="Times New Roman"/>
                <w:sz w:val="20"/>
              </w:rPr>
              <w:t>NRMSE floor, 0.05 MN in the reported specification;</w:t>
            </w:r>
          </w:p>
        </w:tc>
      </w:tr>
      <w:tr w:rsidR="00CD4B0C" w:rsidRPr="009A7383" w14:paraId="5A902CA8" w14:textId="77777777">
        <w:trPr>
          <w:cantSplit/>
          <w:jc w:val="center"/>
        </w:trPr>
        <w:tc>
          <w:tcPr>
            <w:tcW w:w="2232" w:type="dxa"/>
          </w:tcPr>
          <w:p w14:paraId="214958A0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pet</m:t>
                    </m:r>
                  </m:sub>
                </m:sSub>
              </m:oMath>
            </m:oMathPara>
          </w:p>
        </w:tc>
        <w:tc>
          <w:tcPr>
            <w:tcW w:w="7128" w:type="dxa"/>
          </w:tcPr>
          <w:p w14:paraId="15D9AB60" w14:textId="77777777" w:rsidR="00C03B1E" w:rsidRDefault="00000000">
            <w:r>
              <w:rPr>
                <w:rFonts w:ascii="Times New Roman" w:hAnsi="Times New Roman"/>
                <w:sz w:val="20"/>
              </w:rPr>
              <w:t>snapshot-specific normalisation scale;</w:t>
            </w:r>
          </w:p>
        </w:tc>
      </w:tr>
      <w:tr w:rsidR="00CD4B0C" w:rsidRPr="009A7383" w14:paraId="77463ED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80E1E5E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w="7128" w:type="dxa"/>
            <w:vAlign w:val="center"/>
          </w:tcPr>
          <w:p w14:paraId="00AFE73A" w14:textId="77777777" w:rsidR="00C03B1E" w:rsidRDefault="00000000">
            <w:r>
              <w:rPr>
                <w:rFonts w:ascii="Times New Roman" w:hAnsi="Times New Roman"/>
                <w:sz w:val="20"/>
              </w:rPr>
              <w:t>sampled-time index;</w:t>
            </w:r>
          </w:p>
        </w:tc>
      </w:tr>
      <w:tr w:rsidR="00CD4B0C" w:rsidRPr="009A7383" w14:paraId="5B59D81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CE57C5F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</w:p>
        </w:tc>
        <w:tc>
          <w:tcPr>
            <w:tcW w:w="7128" w:type="dxa"/>
            <w:vAlign w:val="center"/>
          </w:tcPr>
          <w:p w14:paraId="6AE12BCA" w14:textId="77777777" w:rsidR="00C03B1E" w:rsidRDefault="00000000">
            <w:r>
              <w:rPr>
                <w:rFonts w:ascii="Times New Roman" w:hAnsi="Times New Roman"/>
                <w:sz w:val="20"/>
              </w:rPr>
              <w:t>axial coordinate of measured level i;</w:t>
            </w:r>
          </w:p>
        </w:tc>
      </w:tr>
      <w:tr w:rsidR="00CD4B0C" w:rsidRPr="009A7383" w14:paraId="225D90A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0C315C4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</w:rPr>
              <w:t>u</w:t>
            </w:r>
            <w:r>
              <w:rPr>
                <w:rFonts w:ascii="Times New Roman" w:hAnsi="Times New Roman"/>
                <w:sz w:val="20"/>
              </w:rPr>
              <w:t>, x</w:t>
            </w:r>
            <w:r>
              <w:rPr>
                <w:rFonts w:ascii="Times New Roman" w:hAnsi="Times New Roman"/>
                <w:sz w:val="20"/>
                <w:vertAlign w:val="subscript"/>
              </w:rPr>
              <w:t>l</w:t>
            </w:r>
          </w:p>
        </w:tc>
        <w:tc>
          <w:tcPr>
            <w:tcW w:w="7128" w:type="dxa"/>
            <w:vAlign w:val="center"/>
          </w:tcPr>
          <w:p w14:paraId="7726B0E7" w14:textId="77777777" w:rsidR="00C03B1E" w:rsidRDefault="00000000">
            <w:r>
              <w:rPr>
                <w:rFonts w:ascii="Times New Roman" w:hAnsi="Times New Roman"/>
                <w:sz w:val="20"/>
              </w:rPr>
              <w:t>upper and lower coordinates of the common measured span;</w:t>
            </w:r>
          </w:p>
        </w:tc>
      </w:tr>
      <w:tr w:rsidR="00CD4B0C" w:rsidRPr="009A7383" w14:paraId="0EFF4AF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A83C89C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z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</w:p>
        </w:tc>
        <w:tc>
          <w:tcPr>
            <w:tcW w:w="7128" w:type="dxa"/>
            <w:vAlign w:val="center"/>
          </w:tcPr>
          <w:p w14:paraId="2CB3F65E" w14:textId="77777777" w:rsidR="00C03B1E" w:rsidRDefault="00000000">
            <w:r>
              <w:rPr>
                <w:rFonts w:ascii="Times New Roman" w:hAnsi="Times New Roman"/>
                <w:sz w:val="20"/>
              </w:rPr>
              <w:t>normalised coordinate over the measured span;</w:t>
            </w:r>
          </w:p>
        </w:tc>
      </w:tr>
      <w:tr w:rsidR="00CD4B0C" w:rsidRPr="009A7383" w14:paraId="35B1E182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CB9C1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pet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F05E3" w14:textId="77777777" w:rsidR="00C03B1E" w:rsidRDefault="00000000">
            <w:r>
              <w:rPr>
                <w:rFonts w:ascii="Times New Roman" w:hAnsi="Times New Roman"/>
                <w:sz w:val="20"/>
              </w:rPr>
              <w:t>normalised depth of the discrete peak-load level;</w:t>
            </w:r>
          </w:p>
        </w:tc>
      </w:tr>
      <w:tr w:rsidR="00CD4B0C" w:rsidRPr="009A7383" w14:paraId="68E4E9DE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24FE70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Δ</w:t>
            </w:r>
            <w:r>
              <w:rPr>
                <w:rFonts w:ascii="Times New Roman" w:hAnsi="Times New Roman"/>
                <w:sz w:val="20"/>
                <w:vertAlign w:val="subscript"/>
              </w:rPr>
              <w:t>e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1C9BC" w14:textId="77777777" w:rsidR="00C03B1E" w:rsidRDefault="00000000">
            <w:r>
              <w:rPr>
                <w:rFonts w:ascii="Times New Roman" w:hAnsi="Times New Roman"/>
                <w:sz w:val="20"/>
              </w:rPr>
              <w:t>earthquake-level median paired candidate-minus-uniform difference;</w:t>
            </w:r>
          </w:p>
        </w:tc>
      </w:tr>
      <w:tr w:rsidR="00CD4B0C" w:rsidRPr="009A7383" w14:paraId="6CD7B141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ECC8CF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</w:rPr>
              <w:t>ε</w:t>
            </w:r>
            <w:r>
              <w:rPr>
                <w:rFonts w:ascii="Times New Roman" w:hAnsi="Times New Roman"/>
                <w:sz w:val="20"/>
                <w:vertAlign w:val="subscript"/>
              </w:rPr>
              <w:t>Q,pet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07AE7" w14:textId="77777777" w:rsidR="00C03B1E" w:rsidRDefault="00000000">
            <w:r>
              <w:rPr>
                <w:rFonts w:ascii="Times New Roman" w:hAnsi="Times New Roman"/>
                <w:sz w:val="20"/>
              </w:rPr>
              <w:t>relative reconstructed peak-load magnitude error for layout D;</w:t>
            </w:r>
          </w:p>
        </w:tc>
      </w:tr>
      <w:tr w:rsidR="00CD4B0C" w:rsidRPr="009A7383" w14:paraId="387229F5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B7F371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</w:rPr>
              <w:t>ε</w:t>
            </w:r>
            <w:r>
              <w:rPr>
                <w:rFonts w:ascii="Times New Roman" w:hAnsi="Times New Roman"/>
                <w:sz w:val="20"/>
                <w:vertAlign w:val="subscript"/>
              </w:rPr>
              <w:t>z,pet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02EE07" w14:textId="77777777" w:rsidR="00C03B1E" w:rsidRDefault="00000000">
            <w:r>
              <w:rPr>
                <w:rFonts w:ascii="Times New Roman" w:hAnsi="Times New Roman"/>
                <w:sz w:val="20"/>
              </w:rPr>
              <w:t>absolute reconstructed peak-depth error on the normalised measured grid;</w:t>
            </w:r>
          </w:p>
        </w:tc>
      </w:tr>
      <w:tr w:rsidR="00CD4B0C" w:rsidRPr="009A7383" w14:paraId="59BCC10D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C06450" w14:textId="77777777" w:rsidR="000430F8" w:rsidRPr="009A7383" w:rsidRDefault="008D78AE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κ</w:t>
            </w:r>
            <w:r>
              <w:rPr>
                <w:rFonts w:ascii="Times New Roman" w:hAnsi="Times New Roman"/>
                <w:sz w:val="20"/>
                <w:vertAlign w:val="subscript"/>
              </w:rPr>
              <w:t>pet</w:t>
            </w:r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D50F68" w14:textId="77777777" w:rsidR="00C03B1E" w:rsidRDefault="00000000">
            <w:r>
              <w:rPr>
                <w:rFonts w:ascii="Times New Roman" w:hAnsi="Times New Roman"/>
                <w:sz w:val="20"/>
              </w:rPr>
              <w:t>normalised absolute second difference at internal measured level i;</w:t>
            </w:r>
          </w:p>
        </w:tc>
      </w:tr>
      <w:tr w:rsidR="00CD4B0C" w:rsidRPr="009A7383" w14:paraId="1F6A85DE" w14:textId="77777777">
        <w:trPr>
          <w:cantSplit/>
          <w:jc w:val="center"/>
        </w:trPr>
        <w:tc>
          <w:tcPr>
            <w:tcW w:w="223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46F95F" w14:textId="77777777" w:rsidR="000430F8" w:rsidRPr="00D43FEC" w:rsidRDefault="00000000" w:rsidP="00FE0AD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Ẽ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</w:rPr>
                  <m:t>(D)</m:t>
                </m:r>
              </m:oMath>
            </m:oMathPara>
          </w:p>
        </w:tc>
        <w:tc>
          <w:tcPr>
            <w:tcW w:w="71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98FB2" w14:textId="77777777" w:rsidR="00C03B1E" w:rsidRDefault="00000000">
            <w:r>
              <w:rPr>
                <w:rFonts w:ascii="Times New Roman" w:hAnsi="Times New Roman"/>
                <w:sz w:val="20"/>
              </w:rPr>
              <w:t>median target-event error of layout D;</w:t>
            </w:r>
          </w:p>
        </w:tc>
      </w:tr>
      <w:tr w:rsidR="00C03B1E" w14:paraId="73B11493" w14:textId="77777777">
        <w:trPr>
          <w:jc w:val="center"/>
        </w:trPr>
        <w:tc>
          <w:tcPr>
            <w:tcW w:w="2232" w:type="dxa"/>
          </w:tcPr>
          <w:p w14:paraId="549E6632" w14:textId="77777777" w:rsidR="00C03B1E" w:rsidRDefault="00000000"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w="7128" w:type="dxa"/>
          </w:tcPr>
          <w:p w14:paraId="5BC3701E" w14:textId="77777777" w:rsidR="00C03B1E" w:rsidRDefault="00000000">
            <w:r>
              <w:rPr>
                <w:rFonts w:ascii="Times New Roman" w:hAnsi="Times New Roman"/>
                <w:sz w:val="20"/>
              </w:rPr>
              <w:t>reference levels below the candidate layout’s deepest retained station;</w:t>
            </w:r>
          </w:p>
        </w:tc>
      </w:tr>
      <w:tr w:rsidR="00C03B1E" w14:paraId="00568F68" w14:textId="77777777">
        <w:trPr>
          <w:jc w:val="center"/>
        </w:trPr>
        <w:tc>
          <w:tcPr>
            <w:tcW w:w="2232" w:type="dxa"/>
          </w:tcPr>
          <w:p w14:paraId="6B6F37E5" w14:textId="77777777" w:rsidR="00C03B1E" w:rsidRDefault="00000000"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20"/>
              </w:rPr>
              <w:t>(D)</w:t>
            </w:r>
          </w:p>
        </w:tc>
        <w:tc>
          <w:tcPr>
            <w:tcW w:w="7128" w:type="dxa"/>
          </w:tcPr>
          <w:p w14:paraId="24C04CFF" w14:textId="77777777" w:rsidR="00C03B1E" w:rsidRDefault="00000000">
            <w:r>
              <w:rPr>
                <w:rFonts w:ascii="Times New Roman" w:hAnsi="Times New Roman"/>
                <w:sz w:val="20"/>
              </w:rPr>
              <w:t>normalised reconstruction residual at reference level i for layout D;</w:t>
            </w:r>
          </w:p>
        </w:tc>
      </w:tr>
    </w:tbl>
    <w:p w14:paraId="13C8482C" w14:textId="77777777" w:rsidR="00C03B1E" w:rsidRPr="0006709B" w:rsidRDefault="00000000" w:rsidP="0006709B">
      <w:pPr>
        <w:keepNext/>
        <w:spacing w:before="120"/>
        <w:jc w:val="center"/>
        <w:rPr>
          <w:bCs/>
        </w:rPr>
      </w:pPr>
      <w:r>
        <w:rPr>
          <w:rFonts w:ascii="Times New Roman" w:hAnsi="Times New Roman"/>
          <w:b/>
          <w:sz w:val="20"/>
        </w:rPr>
        <w:lastRenderedPageBreak/>
        <w:t xml:space="preserve">Table S1. </w:t>
      </w:r>
      <w:r w:rsidRPr="0006709B">
        <w:rPr>
          <w:rFonts w:ascii="Times New Roman" w:hAnsi="Times New Roman"/>
          <w:bCs/>
          <w:sz w:val="20"/>
        </w:rPr>
        <w:t>Robustness and secondary checks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2925"/>
        <w:gridCol w:w="2120"/>
        <w:gridCol w:w="2414"/>
      </w:tblGrid>
      <w:tr w:rsidR="00DF4162" w:rsidRPr="009A7383" w14:paraId="40C86F06" w14:textId="77777777">
        <w:trPr>
          <w:cantSplit/>
          <w:tblHeader/>
        </w:trPr>
        <w:tc>
          <w:tcPr>
            <w:tcW w:w="1901" w:type="dxa"/>
            <w:tcBorders>
              <w:bottom w:val="single" w:sz="6" w:space="0" w:color="auto"/>
            </w:tcBorders>
            <w:vAlign w:val="center"/>
          </w:tcPr>
          <w:p w14:paraId="05858D17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Check</w:t>
            </w:r>
          </w:p>
        </w:tc>
        <w:tc>
          <w:tcPr>
            <w:tcW w:w="2925" w:type="dxa"/>
            <w:tcBorders>
              <w:bottom w:val="single" w:sz="6" w:space="0" w:color="auto"/>
            </w:tcBorders>
            <w:vAlign w:val="center"/>
          </w:tcPr>
          <w:p w14:paraId="6F8269AD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Comparison</w:t>
            </w:r>
          </w:p>
        </w:tc>
        <w:tc>
          <w:tcPr>
            <w:tcW w:w="2120" w:type="dxa"/>
            <w:tcBorders>
              <w:bottom w:val="single" w:sz="6" w:space="0" w:color="auto"/>
            </w:tcBorders>
            <w:vAlign w:val="center"/>
          </w:tcPr>
          <w:p w14:paraId="791CF854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  <w:tc>
          <w:tcPr>
            <w:tcW w:w="2414" w:type="dxa"/>
            <w:tcBorders>
              <w:bottom w:val="single" w:sz="6" w:space="0" w:color="auto"/>
            </w:tcBorders>
            <w:vAlign w:val="center"/>
          </w:tcPr>
          <w:p w14:paraId="676FA2E1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Interpretation</w:t>
            </w:r>
          </w:p>
        </w:tc>
      </w:tr>
      <w:tr w:rsidR="00DF4162" w:rsidRPr="009A7383" w14:paraId="3AE042B8" w14:textId="77777777">
        <w:trPr>
          <w:cantSplit/>
        </w:trPr>
        <w:tc>
          <w:tcPr>
            <w:tcW w:w="1901" w:type="dxa"/>
            <w:vAlign w:val="center"/>
          </w:tcPr>
          <w:p w14:paraId="6458187D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 specifications</w:t>
            </w:r>
          </w:p>
        </w:tc>
        <w:tc>
          <w:tcPr>
            <w:tcW w:w="2925" w:type="dxa"/>
            <w:vAlign w:val="center"/>
          </w:tcPr>
          <w:p w14:paraId="22B04F0D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SKS03, b = 2–4</w:t>
            </w:r>
          </w:p>
        </w:tc>
        <w:tc>
          <w:tcPr>
            <w:tcW w:w="2120" w:type="dxa"/>
            <w:vAlign w:val="center"/>
          </w:tcPr>
          <w:p w14:paraId="60D55ED1" w14:textId="77777777" w:rsidR="000430F8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Lower error in 12/12 specifications at each budget</w:t>
            </w:r>
          </w:p>
        </w:tc>
        <w:tc>
          <w:tcPr>
            <w:tcW w:w="2414" w:type="dxa"/>
            <w:vAlign w:val="center"/>
          </w:tcPr>
          <w:p w14:paraId="74A3617F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Direction and layout invariant</w:t>
            </w:r>
          </w:p>
        </w:tc>
      </w:tr>
      <w:tr w:rsidR="00DF4162" w:rsidRPr="009A7383" w14:paraId="6411C4C4" w14:textId="77777777">
        <w:trPr>
          <w:cantSplit/>
        </w:trPr>
        <w:tc>
          <w:tcPr>
            <w:tcW w:w="1901" w:type="dxa"/>
            <w:vAlign w:val="center"/>
          </w:tcPr>
          <w:p w14:paraId="486C50CE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 specifications</w:t>
            </w:r>
          </w:p>
        </w:tc>
        <w:tc>
          <w:tcPr>
            <w:tcW w:w="2925" w:type="dxa"/>
            <w:vAlign w:val="center"/>
          </w:tcPr>
          <w:p w14:paraId="7E64BF01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SKS02, b = 3–4</w:t>
            </w:r>
          </w:p>
        </w:tc>
        <w:tc>
          <w:tcPr>
            <w:tcW w:w="2120" w:type="dxa"/>
            <w:vAlign w:val="center"/>
          </w:tcPr>
          <w:p w14:paraId="7A009733" w14:textId="77777777" w:rsidR="000430F8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Lower error in 12/12 specifications at each budget</w:t>
            </w:r>
          </w:p>
        </w:tc>
        <w:tc>
          <w:tcPr>
            <w:tcW w:w="2414" w:type="dxa"/>
            <w:vAlign w:val="center"/>
          </w:tcPr>
          <w:p w14:paraId="03B579E4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Direction and layout invariant</w:t>
            </w:r>
          </w:p>
        </w:tc>
      </w:tr>
      <w:tr w:rsidR="00DF4162" w:rsidRPr="009A7383" w14:paraId="288F285E" w14:textId="77777777">
        <w:trPr>
          <w:cantSplit/>
        </w:trPr>
        <w:tc>
          <w:tcPr>
            <w:tcW w:w="1901" w:type="dxa"/>
            <w:vAlign w:val="center"/>
          </w:tcPr>
          <w:p w14:paraId="18B6821A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 specifications</w:t>
            </w:r>
          </w:p>
        </w:tc>
        <w:tc>
          <w:tcPr>
            <w:tcW w:w="2925" w:type="dxa"/>
            <w:vAlign w:val="center"/>
          </w:tcPr>
          <w:p w14:paraId="2CA9CC54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SKS02, b = 2</w:t>
            </w:r>
          </w:p>
        </w:tc>
        <w:tc>
          <w:tcPr>
            <w:tcW w:w="2120" w:type="dxa"/>
            <w:vAlign w:val="center"/>
          </w:tcPr>
          <w:p w14:paraId="091084CA" w14:textId="77777777" w:rsidR="00DF4162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+0.0230 to +0.0236</w:t>
            </w:r>
          </w:p>
        </w:tc>
        <w:tc>
          <w:tcPr>
            <w:tcW w:w="2414" w:type="dxa"/>
            <w:vAlign w:val="center"/>
          </w:tcPr>
          <w:p w14:paraId="59C2FDCB" w14:textId="77777777" w:rsidR="000430F8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Higher-error direction persists</w:t>
            </w:r>
          </w:p>
        </w:tc>
      </w:tr>
      <w:tr w:rsidR="00DF4162" w:rsidRPr="009A7383" w14:paraId="56EC8CA3" w14:textId="77777777">
        <w:trPr>
          <w:cantSplit/>
        </w:trPr>
        <w:tc>
          <w:tcPr>
            <w:tcW w:w="1901" w:type="dxa"/>
            <w:vAlign w:val="center"/>
          </w:tcPr>
          <w:p w14:paraId="170C6CE7" w14:textId="77777777" w:rsidR="00DF4162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Partial six-level grid</w:t>
            </w:r>
          </w:p>
        </w:tc>
        <w:tc>
          <w:tcPr>
            <w:tcW w:w="2925" w:type="dxa"/>
            <w:vAlign w:val="center"/>
          </w:tcPr>
          <w:p w14:paraId="52BA89B9" w14:textId="77777777" w:rsidR="00DF4162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layout → SKS03 Pile 1, b = 2</w:t>
            </w:r>
          </w:p>
        </w:tc>
        <w:tc>
          <w:tcPr>
            <w:tcW w:w="2120" w:type="dxa"/>
            <w:vAlign w:val="center"/>
          </w:tcPr>
          <w:p w14:paraId="594253B3" w14:textId="77777777" w:rsidR="00DF4162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Median −0.180; better in 5/5</w:t>
            </w:r>
          </w:p>
        </w:tc>
        <w:tc>
          <w:tcPr>
            <w:tcW w:w="2414" w:type="dxa"/>
            <w:vAlign w:val="center"/>
          </w:tcPr>
          <w:p w14:paraId="6091DD88" w14:textId="77777777" w:rsidR="00DF4162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Secondary, no target imputation</w:t>
            </w:r>
          </w:p>
        </w:tc>
      </w:tr>
    </w:tbl>
    <w:p w14:paraId="4BDC2813" w14:textId="77777777" w:rsidR="00C03B1E" w:rsidRDefault="00000000">
      <w:r>
        <w:rPr>
          <w:rFonts w:ascii="Times New Roman" w:hAnsi="Times New Roman"/>
          <w:sz w:val="20"/>
        </w:rPr>
        <w:t>Source: Sinha et al. (2020a, b). Candidate-minus-uniform differences are paired within earthquake; added budget b excludes the fixed upper station.</w:t>
      </w:r>
    </w:p>
    <w:p w14:paraId="57FA3918" w14:textId="77777777" w:rsidR="00C03B1E" w:rsidRPr="0006709B" w:rsidRDefault="00000000" w:rsidP="0006709B">
      <w:pPr>
        <w:keepNext/>
        <w:spacing w:before="120"/>
        <w:jc w:val="center"/>
        <w:rPr>
          <w:bCs/>
        </w:rPr>
      </w:pPr>
      <w:r>
        <w:rPr>
          <w:rFonts w:ascii="Times New Roman" w:hAnsi="Times New Roman"/>
          <w:b/>
          <w:sz w:val="20"/>
        </w:rPr>
        <w:t xml:space="preserve">Table S2. </w:t>
      </w:r>
      <w:r w:rsidRPr="0006709B">
        <w:rPr>
          <w:rFonts w:ascii="Times New Roman" w:hAnsi="Times New Roman"/>
          <w:bCs/>
          <w:sz w:val="20"/>
        </w:rPr>
        <w:t>Objective-specific transfer and high-budget saturation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810"/>
        <w:gridCol w:w="1547"/>
        <w:gridCol w:w="1621"/>
        <w:gridCol w:w="1621"/>
        <w:gridCol w:w="1993"/>
      </w:tblGrid>
      <w:tr w:rsidR="00CD4B0C" w:rsidRPr="009A7383" w14:paraId="233EC4B0" w14:textId="77777777">
        <w:trPr>
          <w:cantSplit/>
          <w:tblHeader/>
        </w:trPr>
        <w:tc>
          <w:tcPr>
            <w:tcW w:w="1768" w:type="dxa"/>
            <w:tcBorders>
              <w:bottom w:val="single" w:sz="6" w:space="0" w:color="auto"/>
            </w:tcBorders>
          </w:tcPr>
          <w:p w14:paraId="356D1F8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Selection → evaluation</w:t>
            </w:r>
          </w:p>
        </w:tc>
        <w:tc>
          <w:tcPr>
            <w:tcW w:w="810" w:type="dxa"/>
            <w:tcBorders>
              <w:bottom w:val="single" w:sz="6" w:space="0" w:color="auto"/>
            </w:tcBorders>
          </w:tcPr>
          <w:p w14:paraId="365FD87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Added b</w:t>
            </w:r>
          </w:p>
        </w:tc>
        <w:tc>
          <w:tcPr>
            <w:tcW w:w="1547" w:type="dxa"/>
            <w:tcBorders>
              <w:bottom w:val="single" w:sz="6" w:space="0" w:color="auto"/>
            </w:tcBorders>
          </w:tcPr>
          <w:p w14:paraId="15FFECD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Median Δ NRMSE</w:t>
            </w:r>
          </w:p>
        </w:tc>
        <w:tc>
          <w:tcPr>
            <w:tcW w:w="1621" w:type="dxa"/>
            <w:tcBorders>
              <w:bottom w:val="single" w:sz="6" w:space="0" w:color="auto"/>
            </w:tcBorders>
          </w:tcPr>
          <w:p w14:paraId="162E33B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Median Δ peak load</w:t>
            </w:r>
          </w:p>
        </w:tc>
        <w:tc>
          <w:tcPr>
            <w:tcW w:w="1621" w:type="dxa"/>
            <w:tcBorders>
              <w:bottom w:val="single" w:sz="6" w:space="0" w:color="auto"/>
            </w:tcBorders>
          </w:tcPr>
          <w:p w14:paraId="05821EF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Median Δ peak depth</w:t>
            </w:r>
          </w:p>
        </w:tc>
        <w:tc>
          <w:tcPr>
            <w:tcW w:w="1993" w:type="dxa"/>
            <w:tcBorders>
              <w:bottom w:val="single" w:sz="6" w:space="0" w:color="auto"/>
            </w:tcBorders>
          </w:tcPr>
          <w:p w14:paraId="6BEAA16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Events better: load/depth</w:t>
            </w:r>
          </w:p>
        </w:tc>
      </w:tr>
      <w:tr w:rsidR="00CD4B0C" w:rsidRPr="009A7383" w14:paraId="1E251FBF" w14:textId="77777777">
        <w:trPr>
          <w:cantSplit/>
        </w:trPr>
        <w:tc>
          <w:tcPr>
            <w:tcW w:w="1768" w:type="dxa"/>
          </w:tcPr>
          <w:p w14:paraId="3A0C468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810" w:type="dxa"/>
          </w:tcPr>
          <w:p w14:paraId="03FA00B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47" w:type="dxa"/>
          </w:tcPr>
          <w:p w14:paraId="28FAEA6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−0.116</w:t>
            </w:r>
          </w:p>
        </w:tc>
        <w:tc>
          <w:tcPr>
            <w:tcW w:w="1621" w:type="dxa"/>
          </w:tcPr>
          <w:p w14:paraId="3CFFAE3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−0.108</w:t>
            </w:r>
          </w:p>
        </w:tc>
        <w:tc>
          <w:tcPr>
            <w:tcW w:w="1621" w:type="dxa"/>
          </w:tcPr>
          <w:p w14:paraId="37CC29C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+0.000</w:t>
            </w:r>
          </w:p>
        </w:tc>
        <w:tc>
          <w:tcPr>
            <w:tcW w:w="1993" w:type="dxa"/>
          </w:tcPr>
          <w:p w14:paraId="2E6CC74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5/5; 1/5</w:t>
            </w:r>
          </w:p>
        </w:tc>
      </w:tr>
      <w:tr w:rsidR="00CD4B0C" w:rsidRPr="009A7383" w14:paraId="5AEF1805" w14:textId="77777777">
        <w:trPr>
          <w:cantSplit/>
        </w:trPr>
        <w:tc>
          <w:tcPr>
            <w:tcW w:w="1768" w:type="dxa"/>
          </w:tcPr>
          <w:p w14:paraId="113FA40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810" w:type="dxa"/>
          </w:tcPr>
          <w:p w14:paraId="5184588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47" w:type="dxa"/>
          </w:tcPr>
          <w:p w14:paraId="5D448DB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−0.055</w:t>
            </w:r>
          </w:p>
        </w:tc>
        <w:tc>
          <w:tcPr>
            <w:tcW w:w="1621" w:type="dxa"/>
          </w:tcPr>
          <w:p w14:paraId="29FE073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+0.013</w:t>
            </w:r>
          </w:p>
        </w:tc>
        <w:tc>
          <w:tcPr>
            <w:tcW w:w="1621" w:type="dxa"/>
          </w:tcPr>
          <w:p w14:paraId="116893D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+0.071</w:t>
            </w:r>
          </w:p>
        </w:tc>
        <w:tc>
          <w:tcPr>
            <w:tcW w:w="1993" w:type="dxa"/>
          </w:tcPr>
          <w:p w14:paraId="73FD63E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1/5; 0/5</w:t>
            </w:r>
          </w:p>
        </w:tc>
      </w:tr>
      <w:tr w:rsidR="00CD4B0C" w:rsidRPr="009A7383" w14:paraId="28298AEC" w14:textId="77777777">
        <w:trPr>
          <w:cantSplit/>
        </w:trPr>
        <w:tc>
          <w:tcPr>
            <w:tcW w:w="1768" w:type="dxa"/>
          </w:tcPr>
          <w:p w14:paraId="2179562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810" w:type="dxa"/>
          </w:tcPr>
          <w:p w14:paraId="46EAE3F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47" w:type="dxa"/>
          </w:tcPr>
          <w:p w14:paraId="3C37833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−0.086</w:t>
            </w:r>
          </w:p>
        </w:tc>
        <w:tc>
          <w:tcPr>
            <w:tcW w:w="1621" w:type="dxa"/>
          </w:tcPr>
          <w:p w14:paraId="38B1E00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+0.014</w:t>
            </w:r>
          </w:p>
        </w:tc>
        <w:tc>
          <w:tcPr>
            <w:tcW w:w="1621" w:type="dxa"/>
          </w:tcPr>
          <w:p w14:paraId="1AED0AF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+0.071</w:t>
            </w:r>
          </w:p>
        </w:tc>
        <w:tc>
          <w:tcPr>
            <w:tcW w:w="1993" w:type="dxa"/>
          </w:tcPr>
          <w:p w14:paraId="12CB9BE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0/5; 0/5</w:t>
            </w:r>
          </w:p>
        </w:tc>
      </w:tr>
      <w:tr w:rsidR="00CD4B0C" w:rsidRPr="009A7383" w14:paraId="4BECC201" w14:textId="77777777">
        <w:trPr>
          <w:cantSplit/>
        </w:trPr>
        <w:tc>
          <w:tcPr>
            <w:tcW w:w="1768" w:type="dxa"/>
          </w:tcPr>
          <w:p w14:paraId="5CC33F9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810" w:type="dxa"/>
          </w:tcPr>
          <w:p w14:paraId="496ABAF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47" w:type="dxa"/>
          </w:tcPr>
          <w:p w14:paraId="1E92E03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−0.0005</w:t>
            </w:r>
          </w:p>
        </w:tc>
        <w:tc>
          <w:tcPr>
            <w:tcW w:w="1621" w:type="dxa"/>
          </w:tcPr>
          <w:p w14:paraId="03B11D1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+0.016</w:t>
            </w:r>
          </w:p>
        </w:tc>
        <w:tc>
          <w:tcPr>
            <w:tcW w:w="1621" w:type="dxa"/>
          </w:tcPr>
          <w:p w14:paraId="3CB6A7A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+0.071</w:t>
            </w:r>
          </w:p>
        </w:tc>
        <w:tc>
          <w:tcPr>
            <w:tcW w:w="1993" w:type="dxa"/>
          </w:tcPr>
          <w:p w14:paraId="464B258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1/5; 1/5</w:t>
            </w:r>
          </w:p>
        </w:tc>
      </w:tr>
      <w:tr w:rsidR="00CD4B0C" w:rsidRPr="009A7383" w14:paraId="70ECA163" w14:textId="77777777">
        <w:trPr>
          <w:cantSplit/>
        </w:trPr>
        <w:tc>
          <w:tcPr>
            <w:tcW w:w="1768" w:type="dxa"/>
          </w:tcPr>
          <w:p w14:paraId="54DB7F2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810" w:type="dxa"/>
          </w:tcPr>
          <w:p w14:paraId="03A9A60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47" w:type="dxa"/>
          </w:tcPr>
          <w:p w14:paraId="1E53307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+0.023</w:t>
            </w:r>
          </w:p>
        </w:tc>
        <w:tc>
          <w:tcPr>
            <w:tcW w:w="1621" w:type="dxa"/>
          </w:tcPr>
          <w:p w14:paraId="7877EBF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−0.112</w:t>
            </w:r>
          </w:p>
        </w:tc>
        <w:tc>
          <w:tcPr>
            <w:tcW w:w="1621" w:type="dxa"/>
          </w:tcPr>
          <w:p w14:paraId="2BA5858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+0.214</w:t>
            </w:r>
          </w:p>
        </w:tc>
        <w:tc>
          <w:tcPr>
            <w:tcW w:w="1993" w:type="dxa"/>
          </w:tcPr>
          <w:p w14:paraId="07FF870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5/6; 0/6</w:t>
            </w:r>
          </w:p>
        </w:tc>
      </w:tr>
      <w:tr w:rsidR="00CD4B0C" w:rsidRPr="009A7383" w14:paraId="57042FCB" w14:textId="77777777">
        <w:trPr>
          <w:cantSplit/>
        </w:trPr>
        <w:tc>
          <w:tcPr>
            <w:tcW w:w="1768" w:type="dxa"/>
          </w:tcPr>
          <w:p w14:paraId="40F83E7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810" w:type="dxa"/>
          </w:tcPr>
          <w:p w14:paraId="0E820E11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47" w:type="dxa"/>
          </w:tcPr>
          <w:p w14:paraId="2E624EA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−0.006</w:t>
            </w:r>
          </w:p>
        </w:tc>
        <w:tc>
          <w:tcPr>
            <w:tcW w:w="1621" w:type="dxa"/>
          </w:tcPr>
          <w:p w14:paraId="0C71655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+0.030</w:t>
            </w:r>
          </w:p>
        </w:tc>
        <w:tc>
          <w:tcPr>
            <w:tcW w:w="1621" w:type="dxa"/>
          </w:tcPr>
          <w:p w14:paraId="754AA029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+0.143</w:t>
            </w:r>
          </w:p>
        </w:tc>
        <w:tc>
          <w:tcPr>
            <w:tcW w:w="1993" w:type="dxa"/>
          </w:tcPr>
          <w:p w14:paraId="4AEF3D01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1/6; 0/6</w:t>
            </w:r>
          </w:p>
        </w:tc>
      </w:tr>
      <w:tr w:rsidR="00CD4B0C" w:rsidRPr="009A7383" w14:paraId="01620BE9" w14:textId="77777777">
        <w:trPr>
          <w:cantSplit/>
        </w:trPr>
        <w:tc>
          <w:tcPr>
            <w:tcW w:w="1768" w:type="dxa"/>
          </w:tcPr>
          <w:p w14:paraId="56AA762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810" w:type="dxa"/>
          </w:tcPr>
          <w:p w14:paraId="6484B11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47" w:type="dxa"/>
          </w:tcPr>
          <w:p w14:paraId="518A3B7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−0.053</w:t>
            </w:r>
          </w:p>
        </w:tc>
        <w:tc>
          <w:tcPr>
            <w:tcW w:w="1621" w:type="dxa"/>
          </w:tcPr>
          <w:p w14:paraId="3F17E69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−0.319</w:t>
            </w:r>
          </w:p>
        </w:tc>
        <w:tc>
          <w:tcPr>
            <w:tcW w:w="1621" w:type="dxa"/>
          </w:tcPr>
          <w:p w14:paraId="12F749E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−0.357</w:t>
            </w:r>
          </w:p>
        </w:tc>
        <w:tc>
          <w:tcPr>
            <w:tcW w:w="1993" w:type="dxa"/>
          </w:tcPr>
          <w:p w14:paraId="33DB5BE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6/6; 6/6</w:t>
            </w:r>
          </w:p>
        </w:tc>
      </w:tr>
      <w:tr w:rsidR="00CD4B0C" w:rsidRPr="009A7383" w14:paraId="456F98CA" w14:textId="77777777">
        <w:trPr>
          <w:cantSplit/>
        </w:trPr>
        <w:tc>
          <w:tcPr>
            <w:tcW w:w="1768" w:type="dxa"/>
          </w:tcPr>
          <w:p w14:paraId="296F8C57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810" w:type="dxa"/>
          </w:tcPr>
          <w:p w14:paraId="37679CE8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47" w:type="dxa"/>
          </w:tcPr>
          <w:p w14:paraId="1CFB3136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+0.0000</w:t>
            </w:r>
          </w:p>
        </w:tc>
        <w:tc>
          <w:tcPr>
            <w:tcW w:w="1621" w:type="dxa"/>
          </w:tcPr>
          <w:p w14:paraId="6B9B93F8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+0.000</w:t>
            </w:r>
          </w:p>
        </w:tc>
        <w:tc>
          <w:tcPr>
            <w:tcW w:w="1621" w:type="dxa"/>
          </w:tcPr>
          <w:p w14:paraId="4A888981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+0.000</w:t>
            </w:r>
          </w:p>
        </w:tc>
        <w:tc>
          <w:tcPr>
            <w:tcW w:w="1993" w:type="dxa"/>
          </w:tcPr>
          <w:p w14:paraId="730FEFCE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0/6; 0/6</w:t>
            </w:r>
          </w:p>
        </w:tc>
      </w:tr>
    </w:tbl>
    <w:p w14:paraId="65454709" w14:textId="77777777" w:rsidR="00C03B1E" w:rsidRDefault="00000000">
      <w:r>
        <w:rPr>
          <w:rFonts w:ascii="Times New Roman" w:hAnsi="Times New Roman"/>
          <w:sz w:val="20"/>
        </w:rPr>
        <w:t>Source: Sinha et al. (2020a, b). Candidate-minus-uniform differences are paired within earthquake; added budget b excludes the fixed upper station.</w:t>
      </w:r>
    </w:p>
    <w:p w14:paraId="2DC31351" w14:textId="77777777" w:rsidR="00C03B1E" w:rsidRDefault="00000000">
      <w:r>
        <w:rPr>
          <w:rFonts w:ascii="Times New Roman" w:hAnsi="Times New Roman"/>
          <w:b/>
          <w:sz w:val="20"/>
        </w:rPr>
        <w:t>Digital field-reference protocol</w:t>
      </w:r>
    </w:p>
    <w:p w14:paraId="2FC8C53F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A further digital check uses five Delft screw-injection piles: F1, F2, T1, T2 and T3 (Duffy et al. 2024, 2025). The 470-mm screw-tip diameter and pile lengths of 19.2–20.8 m accompany a layered deposit with a deep sand bearing layer. Fundex casings were removed; Tubex casings remained. F3 is excluded following source-reported casing-extraction problems. The source converts distributed fibre-optic strain to force using its stiffness interpretation; these processed curves are not a new strain-to-force calibration.</w:t>
      </w:r>
    </w:p>
    <w:p w14:paraId="4443CBEA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lastRenderedPageBreak/>
        <w:t>Delft profiles are taken from the last complete record within each numbered loading stage, excluding 45 s at each stage boundary. The 53 selected profiles are evaluated on 0.20-m reference grids, with 0.40 m as a sensitivity, because the instrument resolution is 0.20 m although source processing interpolates at 0.01 m. The separate head-load coordinate and recorded gaps are retained. Exact source indices divided by seven define the frozen requested depths; nearest-level mapping and Eq. (11) are unchanged. Paired stage differences are summarised by their median within each pile, then equally across five piles. Original and boundary-constrained layouts, linear/PCHIP reconstruction and distance-weighted error are all retained; no external result selects a protocol.</w:t>
      </w:r>
    </w:p>
    <w:p w14:paraId="77F2BB87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The coverage decomposition follows Eq. (14) in the main manuscript. It separates where reconstruction error occurs without identifying its mechanical cause.</w:t>
      </w:r>
    </w:p>
    <w:p w14:paraId="36111CFC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The 53 stages comprise 12 each for F1 and F2, 15 for T1, eight for T2 and six for T3. Source file hashes, selected timestamps and complete-stage eligibility are supplied. F3 is excluded by source quality, not by reconstruction performance. All comparisons use frozen source layouts. The 0.01-m source grid is interpolated and does not represent independent observations at that spacing.</w:t>
      </w:r>
    </w:p>
    <w:p w14:paraId="4991BB99" w14:textId="77777777" w:rsidR="00C03B1E" w:rsidRPr="0006709B" w:rsidRDefault="00000000" w:rsidP="0006709B">
      <w:pPr>
        <w:keepNext/>
        <w:spacing w:before="120"/>
        <w:jc w:val="center"/>
        <w:rPr>
          <w:bCs/>
        </w:rPr>
      </w:pPr>
      <w:r>
        <w:rPr>
          <w:rFonts w:ascii="Times New Roman" w:hAnsi="Times New Roman"/>
          <w:b/>
          <w:sz w:val="20"/>
        </w:rPr>
        <w:t xml:space="preserve">Table S3. </w:t>
      </w:r>
      <w:r w:rsidRPr="0006709B">
        <w:rPr>
          <w:rFonts w:ascii="Times New Roman" w:hAnsi="Times New Roman"/>
          <w:bCs/>
          <w:sz w:val="20"/>
        </w:rPr>
        <w:t>Delft pile-level median paired NRMSE differences: primary linear, original-layout, 0.20-m-grid protocol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C03B1E" w14:paraId="7AB7CB88" w14:textId="77777777">
        <w:trPr>
          <w:tblHeader/>
        </w:trPr>
        <w:tc>
          <w:tcPr>
            <w:tcW w:w="1337" w:type="dxa"/>
            <w:tcBorders>
              <w:bottom w:val="single" w:sz="6" w:space="0" w:color="auto"/>
            </w:tcBorders>
          </w:tcPr>
          <w:p w14:paraId="76D6C46E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w="1337" w:type="dxa"/>
            <w:tcBorders>
              <w:bottom w:val="single" w:sz="6" w:space="0" w:color="auto"/>
            </w:tcBorders>
          </w:tcPr>
          <w:p w14:paraId="283AA6B9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Added b</w:t>
            </w:r>
          </w:p>
        </w:tc>
        <w:tc>
          <w:tcPr>
            <w:tcW w:w="1337" w:type="dxa"/>
            <w:tcBorders>
              <w:bottom w:val="single" w:sz="6" w:space="0" w:color="auto"/>
            </w:tcBorders>
          </w:tcPr>
          <w:p w14:paraId="6D1ADD4C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F1</w:t>
            </w:r>
          </w:p>
        </w:tc>
        <w:tc>
          <w:tcPr>
            <w:tcW w:w="1337" w:type="dxa"/>
            <w:tcBorders>
              <w:bottom w:val="single" w:sz="6" w:space="0" w:color="auto"/>
            </w:tcBorders>
          </w:tcPr>
          <w:p w14:paraId="3AA8A180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F2</w:t>
            </w:r>
          </w:p>
        </w:tc>
        <w:tc>
          <w:tcPr>
            <w:tcW w:w="1337" w:type="dxa"/>
            <w:tcBorders>
              <w:bottom w:val="single" w:sz="6" w:space="0" w:color="auto"/>
            </w:tcBorders>
          </w:tcPr>
          <w:p w14:paraId="72486CC3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T1</w:t>
            </w:r>
          </w:p>
        </w:tc>
        <w:tc>
          <w:tcPr>
            <w:tcW w:w="1337" w:type="dxa"/>
            <w:tcBorders>
              <w:bottom w:val="single" w:sz="6" w:space="0" w:color="auto"/>
            </w:tcBorders>
          </w:tcPr>
          <w:p w14:paraId="5F8156B2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T2</w:t>
            </w:r>
          </w:p>
        </w:tc>
        <w:tc>
          <w:tcPr>
            <w:tcW w:w="1338" w:type="dxa"/>
            <w:tcBorders>
              <w:bottom w:val="single" w:sz="6" w:space="0" w:color="auto"/>
            </w:tcBorders>
          </w:tcPr>
          <w:p w14:paraId="7FE7CD31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T3</w:t>
            </w:r>
          </w:p>
        </w:tc>
      </w:tr>
      <w:tr w:rsidR="00C03B1E" w14:paraId="6373E3B8" w14:textId="77777777">
        <w:tc>
          <w:tcPr>
            <w:tcW w:w="1337" w:type="dxa"/>
          </w:tcPr>
          <w:p w14:paraId="78080E9F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SKS02</w:t>
            </w:r>
          </w:p>
        </w:tc>
        <w:tc>
          <w:tcPr>
            <w:tcW w:w="1337" w:type="dxa"/>
          </w:tcPr>
          <w:p w14:paraId="6825F174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37" w:type="dxa"/>
          </w:tcPr>
          <w:p w14:paraId="12ACED8C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+0.143</w:t>
            </w:r>
          </w:p>
        </w:tc>
        <w:tc>
          <w:tcPr>
            <w:tcW w:w="1337" w:type="dxa"/>
          </w:tcPr>
          <w:p w14:paraId="0F21D7BF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+0.154</w:t>
            </w:r>
          </w:p>
        </w:tc>
        <w:tc>
          <w:tcPr>
            <w:tcW w:w="1337" w:type="dxa"/>
          </w:tcPr>
          <w:p w14:paraId="205E8398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+0.111</w:t>
            </w:r>
          </w:p>
        </w:tc>
        <w:tc>
          <w:tcPr>
            <w:tcW w:w="1337" w:type="dxa"/>
          </w:tcPr>
          <w:p w14:paraId="64EB2373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+0.197</w:t>
            </w:r>
          </w:p>
        </w:tc>
        <w:tc>
          <w:tcPr>
            <w:tcW w:w="1338" w:type="dxa"/>
          </w:tcPr>
          <w:p w14:paraId="2BBBECB0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+0.164</w:t>
            </w:r>
          </w:p>
        </w:tc>
      </w:tr>
      <w:tr w:rsidR="00C03B1E" w14:paraId="756CCED9" w14:textId="77777777">
        <w:tc>
          <w:tcPr>
            <w:tcW w:w="1337" w:type="dxa"/>
          </w:tcPr>
          <w:p w14:paraId="6FF3E421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SKS02</w:t>
            </w:r>
          </w:p>
        </w:tc>
        <w:tc>
          <w:tcPr>
            <w:tcW w:w="1337" w:type="dxa"/>
          </w:tcPr>
          <w:p w14:paraId="7A83C178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337" w:type="dxa"/>
          </w:tcPr>
          <w:p w14:paraId="2BA1FF9F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+0.018</w:t>
            </w:r>
          </w:p>
        </w:tc>
        <w:tc>
          <w:tcPr>
            <w:tcW w:w="1337" w:type="dxa"/>
          </w:tcPr>
          <w:p w14:paraId="00D84750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+0.003</w:t>
            </w:r>
          </w:p>
        </w:tc>
        <w:tc>
          <w:tcPr>
            <w:tcW w:w="1337" w:type="dxa"/>
          </w:tcPr>
          <w:p w14:paraId="043485A8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+0.035</w:t>
            </w:r>
          </w:p>
        </w:tc>
        <w:tc>
          <w:tcPr>
            <w:tcW w:w="1337" w:type="dxa"/>
          </w:tcPr>
          <w:p w14:paraId="6DF83D58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+0.031</w:t>
            </w:r>
          </w:p>
        </w:tc>
        <w:tc>
          <w:tcPr>
            <w:tcW w:w="1338" w:type="dxa"/>
          </w:tcPr>
          <w:p w14:paraId="675650F6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+0.018</w:t>
            </w:r>
          </w:p>
        </w:tc>
      </w:tr>
      <w:tr w:rsidR="00C03B1E" w14:paraId="7E3B02DF" w14:textId="77777777">
        <w:tc>
          <w:tcPr>
            <w:tcW w:w="1337" w:type="dxa"/>
          </w:tcPr>
          <w:p w14:paraId="6A4840BB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SKS02</w:t>
            </w:r>
          </w:p>
        </w:tc>
        <w:tc>
          <w:tcPr>
            <w:tcW w:w="1337" w:type="dxa"/>
          </w:tcPr>
          <w:p w14:paraId="70E84755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37" w:type="dxa"/>
          </w:tcPr>
          <w:p w14:paraId="1A057C52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+0.002</w:t>
            </w:r>
          </w:p>
        </w:tc>
        <w:tc>
          <w:tcPr>
            <w:tcW w:w="1337" w:type="dxa"/>
          </w:tcPr>
          <w:p w14:paraId="5F7F13C1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-0.014</w:t>
            </w:r>
          </w:p>
        </w:tc>
        <w:tc>
          <w:tcPr>
            <w:tcW w:w="1337" w:type="dxa"/>
          </w:tcPr>
          <w:p w14:paraId="2925B545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w="1337" w:type="dxa"/>
          </w:tcPr>
          <w:p w14:paraId="26A7EFF6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+0.005</w:t>
            </w:r>
          </w:p>
        </w:tc>
        <w:tc>
          <w:tcPr>
            <w:tcW w:w="1338" w:type="dxa"/>
          </w:tcPr>
          <w:p w14:paraId="13AD6652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+0.015</w:t>
            </w:r>
          </w:p>
        </w:tc>
      </w:tr>
      <w:tr w:rsidR="00C03B1E" w14:paraId="1A238159" w14:textId="77777777">
        <w:tc>
          <w:tcPr>
            <w:tcW w:w="1337" w:type="dxa"/>
          </w:tcPr>
          <w:p w14:paraId="38EA0FDC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SKS03</w:t>
            </w:r>
          </w:p>
        </w:tc>
        <w:tc>
          <w:tcPr>
            <w:tcW w:w="1337" w:type="dxa"/>
          </w:tcPr>
          <w:p w14:paraId="066F45AA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37" w:type="dxa"/>
          </w:tcPr>
          <w:p w14:paraId="75D03CF5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+0.018</w:t>
            </w:r>
          </w:p>
        </w:tc>
        <w:tc>
          <w:tcPr>
            <w:tcW w:w="1337" w:type="dxa"/>
          </w:tcPr>
          <w:p w14:paraId="50BF77AB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+0.005</w:t>
            </w:r>
          </w:p>
        </w:tc>
        <w:tc>
          <w:tcPr>
            <w:tcW w:w="1337" w:type="dxa"/>
          </w:tcPr>
          <w:p w14:paraId="5C5EADEA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+0.021</w:t>
            </w:r>
          </w:p>
        </w:tc>
        <w:tc>
          <w:tcPr>
            <w:tcW w:w="1337" w:type="dxa"/>
          </w:tcPr>
          <w:p w14:paraId="3742DF32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+0.083</w:t>
            </w:r>
          </w:p>
        </w:tc>
        <w:tc>
          <w:tcPr>
            <w:tcW w:w="1338" w:type="dxa"/>
          </w:tcPr>
          <w:p w14:paraId="1B795E4D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+0.031</w:t>
            </w:r>
          </w:p>
        </w:tc>
      </w:tr>
      <w:tr w:rsidR="00C03B1E" w14:paraId="27D98B61" w14:textId="77777777">
        <w:tc>
          <w:tcPr>
            <w:tcW w:w="1337" w:type="dxa"/>
          </w:tcPr>
          <w:p w14:paraId="5F25F0D9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SKS03</w:t>
            </w:r>
          </w:p>
        </w:tc>
        <w:tc>
          <w:tcPr>
            <w:tcW w:w="1337" w:type="dxa"/>
          </w:tcPr>
          <w:p w14:paraId="4D95938A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337" w:type="dxa"/>
          </w:tcPr>
          <w:p w14:paraId="7E4A05BF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+0.002</w:t>
            </w:r>
          </w:p>
        </w:tc>
        <w:tc>
          <w:tcPr>
            <w:tcW w:w="1337" w:type="dxa"/>
          </w:tcPr>
          <w:p w14:paraId="78CB70D0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w="1337" w:type="dxa"/>
          </w:tcPr>
          <w:p w14:paraId="2FB3C24A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+0.052</w:t>
            </w:r>
          </w:p>
        </w:tc>
        <w:tc>
          <w:tcPr>
            <w:tcW w:w="1337" w:type="dxa"/>
          </w:tcPr>
          <w:p w14:paraId="1E316BEC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+0.024</w:t>
            </w:r>
          </w:p>
        </w:tc>
        <w:tc>
          <w:tcPr>
            <w:tcW w:w="1338" w:type="dxa"/>
          </w:tcPr>
          <w:p w14:paraId="69060ACF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+0.006</w:t>
            </w:r>
          </w:p>
        </w:tc>
      </w:tr>
      <w:tr w:rsidR="00C03B1E" w14:paraId="37433BD1" w14:textId="77777777">
        <w:tc>
          <w:tcPr>
            <w:tcW w:w="1337" w:type="dxa"/>
          </w:tcPr>
          <w:p w14:paraId="5FC4DC75" w14:textId="77777777" w:rsidR="00C03B1E" w:rsidRDefault="00000000">
            <w:r>
              <w:rPr>
                <w:rFonts w:ascii="Times New Roman" w:hAnsi="Times New Roman"/>
                <w:sz w:val="20"/>
              </w:rPr>
              <w:t>SKS03</w:t>
            </w:r>
          </w:p>
        </w:tc>
        <w:tc>
          <w:tcPr>
            <w:tcW w:w="1337" w:type="dxa"/>
          </w:tcPr>
          <w:p w14:paraId="1E4A54A4" w14:textId="77777777" w:rsidR="00C03B1E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37" w:type="dxa"/>
          </w:tcPr>
          <w:p w14:paraId="249DCCC7" w14:textId="77777777" w:rsidR="00C03B1E" w:rsidRDefault="00000000">
            <w:r>
              <w:rPr>
                <w:rFonts w:ascii="Times New Roman" w:hAnsi="Times New Roman"/>
                <w:sz w:val="20"/>
              </w:rPr>
              <w:t>-0.013</w:t>
            </w:r>
          </w:p>
        </w:tc>
        <w:tc>
          <w:tcPr>
            <w:tcW w:w="1337" w:type="dxa"/>
          </w:tcPr>
          <w:p w14:paraId="54C5C6C8" w14:textId="77777777" w:rsidR="00C03B1E" w:rsidRDefault="00000000"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w="1337" w:type="dxa"/>
          </w:tcPr>
          <w:p w14:paraId="4267D45A" w14:textId="77777777" w:rsidR="00C03B1E" w:rsidRDefault="00000000">
            <w:r>
              <w:rPr>
                <w:rFonts w:ascii="Times New Roman" w:hAnsi="Times New Roman"/>
                <w:sz w:val="20"/>
              </w:rPr>
              <w:t>-0.028</w:t>
            </w:r>
          </w:p>
        </w:tc>
        <w:tc>
          <w:tcPr>
            <w:tcW w:w="1337" w:type="dxa"/>
          </w:tcPr>
          <w:p w14:paraId="244A578A" w14:textId="77777777" w:rsidR="00C03B1E" w:rsidRDefault="00000000">
            <w:r>
              <w:rPr>
                <w:rFonts w:ascii="Times New Roman" w:hAnsi="Times New Roman"/>
                <w:sz w:val="20"/>
              </w:rPr>
              <w:t>+0.003</w:t>
            </w:r>
          </w:p>
        </w:tc>
        <w:tc>
          <w:tcPr>
            <w:tcW w:w="1338" w:type="dxa"/>
          </w:tcPr>
          <w:p w14:paraId="530D109D" w14:textId="77777777" w:rsidR="00C03B1E" w:rsidRDefault="00000000">
            <w:r>
              <w:rPr>
                <w:rFonts w:ascii="Times New Roman" w:hAnsi="Times New Roman"/>
                <w:sz w:val="20"/>
              </w:rPr>
              <w:t>+0.007</w:t>
            </w:r>
          </w:p>
        </w:tc>
      </w:tr>
    </w:tbl>
    <w:p w14:paraId="295A802B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Source: Duffy et al. (2025), with frozen layouts from Sinha et al. (2020a, b). Negative differences favour the candidate; ±0.005 is the stated equivalence tolerance. Five piles belong to one site; stages are repeated measurements. All other protocols and distance-weighted results are supplied as CSV files.</w:t>
      </w:r>
    </w:p>
    <w:p w14:paraId="0FF3B0CA" w14:textId="77777777" w:rsidR="00C03B1E" w:rsidRPr="0006709B" w:rsidRDefault="00000000" w:rsidP="0006709B">
      <w:pPr>
        <w:keepNext/>
        <w:spacing w:before="120"/>
        <w:jc w:val="center"/>
        <w:rPr>
          <w:bCs/>
        </w:rPr>
      </w:pPr>
      <w:r>
        <w:rPr>
          <w:rFonts w:ascii="Times New Roman" w:hAnsi="Times New Roman"/>
          <w:b/>
          <w:sz w:val="20"/>
        </w:rPr>
        <w:lastRenderedPageBreak/>
        <w:t xml:space="preserve">Table S4. </w:t>
      </w:r>
      <w:r w:rsidRPr="0006709B">
        <w:rPr>
          <w:rFonts w:ascii="Times New Roman" w:hAnsi="Times New Roman"/>
          <w:bCs/>
          <w:sz w:val="20"/>
        </w:rPr>
        <w:t>Graphical-resolution stress scenarios for 24 published-profile comparisons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3B1E" w14:paraId="3D78EE8E" w14:textId="77777777">
        <w:trPr>
          <w:tblHeader/>
        </w:trPr>
        <w:tc>
          <w:tcPr>
            <w:tcW w:w="2340" w:type="dxa"/>
            <w:tcBorders>
              <w:bottom w:val="single" w:sz="6" w:space="0" w:color="auto"/>
            </w:tcBorders>
          </w:tcPr>
          <w:p w14:paraId="12D1ED95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Pixels</w:t>
            </w:r>
          </w:p>
        </w:tc>
        <w:tc>
          <w:tcPr>
            <w:tcW w:w="2340" w:type="dxa"/>
            <w:tcBorders>
              <w:bottom w:val="single" w:sz="6" w:space="0" w:color="auto"/>
            </w:tcBorders>
          </w:tcPr>
          <w:p w14:paraId="1A942973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Draws per comparison</w:t>
            </w:r>
          </w:p>
        </w:tc>
        <w:tc>
          <w:tcPr>
            <w:tcW w:w="2340" w:type="dxa"/>
            <w:tcBorders>
              <w:bottom w:val="single" w:sz="6" w:space="0" w:color="auto"/>
            </w:tcBorders>
          </w:tcPr>
          <w:p w14:paraId="4106DCB8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Classes unchanged in all draws</w:t>
            </w:r>
          </w:p>
        </w:tc>
        <w:tc>
          <w:tcPr>
            <w:tcW w:w="2340" w:type="dxa"/>
            <w:tcBorders>
              <w:bottom w:val="single" w:sz="6" w:space="0" w:color="auto"/>
            </w:tcBorders>
          </w:tcPr>
          <w:p w14:paraId="3F4E64AC" w14:textId="77777777" w:rsidR="00C03B1E" w:rsidRDefault="00000000">
            <w:pPr>
              <w:keepNext/>
            </w:pPr>
            <w:r>
              <w:rPr>
                <w:rFonts w:ascii="Times New Roman" w:hAnsi="Times New Roman"/>
                <w:b/>
                <w:sz w:val="20"/>
              </w:rPr>
              <w:t>Median of comparison-wise minima</w:t>
            </w:r>
          </w:p>
        </w:tc>
      </w:tr>
      <w:tr w:rsidR="00C03B1E" w14:paraId="766AFA0C" w14:textId="77777777">
        <w:tc>
          <w:tcPr>
            <w:tcW w:w="2340" w:type="dxa"/>
          </w:tcPr>
          <w:p w14:paraId="63648FC8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40" w:type="dxa"/>
          </w:tcPr>
          <w:p w14:paraId="23ECCF76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2,000</w:t>
            </w:r>
          </w:p>
        </w:tc>
        <w:tc>
          <w:tcPr>
            <w:tcW w:w="2340" w:type="dxa"/>
          </w:tcPr>
          <w:p w14:paraId="4EDFB99C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23/24</w:t>
            </w:r>
          </w:p>
        </w:tc>
        <w:tc>
          <w:tcPr>
            <w:tcW w:w="2340" w:type="dxa"/>
          </w:tcPr>
          <w:p w14:paraId="77E0640B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+0.021</w:t>
            </w:r>
          </w:p>
        </w:tc>
      </w:tr>
      <w:tr w:rsidR="00C03B1E" w14:paraId="0AA6E82B" w14:textId="77777777">
        <w:tc>
          <w:tcPr>
            <w:tcW w:w="2340" w:type="dxa"/>
          </w:tcPr>
          <w:p w14:paraId="01078889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40" w:type="dxa"/>
          </w:tcPr>
          <w:p w14:paraId="190DB215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2,000</w:t>
            </w:r>
          </w:p>
        </w:tc>
        <w:tc>
          <w:tcPr>
            <w:tcW w:w="2340" w:type="dxa"/>
          </w:tcPr>
          <w:p w14:paraId="3D759FF4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19/24</w:t>
            </w:r>
          </w:p>
        </w:tc>
        <w:tc>
          <w:tcPr>
            <w:tcW w:w="2340" w:type="dxa"/>
          </w:tcPr>
          <w:p w14:paraId="64862E31" w14:textId="77777777" w:rsidR="00C03B1E" w:rsidRDefault="00000000">
            <w:pPr>
              <w:keepNext/>
            </w:pPr>
            <w:r>
              <w:rPr>
                <w:rFonts w:ascii="Times New Roman" w:hAnsi="Times New Roman"/>
                <w:sz w:val="20"/>
              </w:rPr>
              <w:t>+0.020</w:t>
            </w:r>
          </w:p>
        </w:tc>
      </w:tr>
      <w:tr w:rsidR="00C03B1E" w14:paraId="5C438C0C" w14:textId="77777777">
        <w:tc>
          <w:tcPr>
            <w:tcW w:w="2340" w:type="dxa"/>
          </w:tcPr>
          <w:p w14:paraId="40256F58" w14:textId="77777777" w:rsidR="00C03B1E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40" w:type="dxa"/>
          </w:tcPr>
          <w:p w14:paraId="772D65DF" w14:textId="77777777" w:rsidR="00C03B1E" w:rsidRDefault="00000000">
            <w:r>
              <w:rPr>
                <w:rFonts w:ascii="Times New Roman" w:hAnsi="Times New Roman"/>
                <w:sz w:val="20"/>
              </w:rPr>
              <w:t>2,000</w:t>
            </w:r>
          </w:p>
        </w:tc>
        <w:tc>
          <w:tcPr>
            <w:tcW w:w="2340" w:type="dxa"/>
          </w:tcPr>
          <w:p w14:paraId="23AA133A" w14:textId="77777777" w:rsidR="00C03B1E" w:rsidRDefault="00000000">
            <w:r>
              <w:rPr>
                <w:rFonts w:ascii="Times New Roman" w:hAnsi="Times New Roman"/>
                <w:sz w:val="20"/>
              </w:rPr>
              <w:t>17/24</w:t>
            </w:r>
          </w:p>
        </w:tc>
        <w:tc>
          <w:tcPr>
            <w:tcW w:w="2340" w:type="dxa"/>
          </w:tcPr>
          <w:p w14:paraId="4EB04B3F" w14:textId="77777777" w:rsidR="00C03B1E" w:rsidRDefault="00000000">
            <w:r>
              <w:rPr>
                <w:rFonts w:ascii="Times New Roman" w:hAnsi="Times New Roman"/>
                <w:sz w:val="20"/>
              </w:rPr>
              <w:t>+0.017</w:t>
            </w:r>
          </w:p>
        </w:tc>
      </w:tr>
    </w:tbl>
    <w:p w14:paraId="2660923C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Source: digitised profiles from Kevan (2017) and FHWA (2017). Amplitudes are specified graphical-resolution scenarios, not confidence bounds. Turrell load bounds also include half the between-figure range; its published gauge depths remain fixed. Smooth FHWA perturbations use eleven depth anchors shared by candidate and comparator. Full scenario outputs include changed mappings and minimum/maximum paired errors.</w:t>
      </w:r>
    </w:p>
    <w:p w14:paraId="61D6D486" w14:textId="77777777" w:rsidR="00C03B1E" w:rsidRPr="0006709B" w:rsidRDefault="00000000" w:rsidP="0006709B">
      <w:pPr>
        <w:keepNext/>
        <w:spacing w:before="120"/>
        <w:jc w:val="center"/>
        <w:rPr>
          <w:bCs/>
        </w:rPr>
      </w:pPr>
      <w:r>
        <w:rPr>
          <w:rFonts w:ascii="Times New Roman" w:hAnsi="Times New Roman"/>
          <w:b/>
          <w:sz w:val="20"/>
        </w:rPr>
        <w:t xml:space="preserve">Table S5. </w:t>
      </w:r>
      <w:r w:rsidRPr="0006709B">
        <w:rPr>
          <w:rFonts w:ascii="Times New Roman" w:hAnsi="Times New Roman"/>
          <w:bCs/>
          <w:sz w:val="20"/>
        </w:rPr>
        <w:t>Independent published-profile consistency relative to equal-budget uniform placement</w:t>
      </w:r>
    </w:p>
    <w:tbl>
      <w:tblPr>
        <w:tblW w:w="936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728"/>
        <w:gridCol w:w="504"/>
        <w:gridCol w:w="1224"/>
        <w:gridCol w:w="1080"/>
        <w:gridCol w:w="2736"/>
      </w:tblGrid>
      <w:tr w:rsidR="00CD4B0C" w:rsidRPr="009A7383" w14:paraId="3E8D8154" w14:textId="77777777">
        <w:trPr>
          <w:cantSplit/>
          <w:tblHeader/>
          <w:jc w:val="center"/>
        </w:trPr>
        <w:tc>
          <w:tcPr>
            <w:tcW w:w="2088" w:type="dxa"/>
            <w:tcBorders>
              <w:bottom w:val="single" w:sz="6" w:space="0" w:color="auto"/>
            </w:tcBorders>
            <w:vAlign w:val="center"/>
          </w:tcPr>
          <w:p w14:paraId="09A3F28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  <w:tc>
          <w:tcPr>
            <w:tcW w:w="1728" w:type="dxa"/>
            <w:tcBorders>
              <w:bottom w:val="single" w:sz="6" w:space="0" w:color="auto"/>
            </w:tcBorders>
            <w:vAlign w:val="center"/>
          </w:tcPr>
          <w:p w14:paraId="719BA9F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Profiles</w:t>
            </w:r>
          </w:p>
        </w:tc>
        <w:tc>
          <w:tcPr>
            <w:tcW w:w="504" w:type="dxa"/>
            <w:tcBorders>
              <w:bottom w:val="single" w:sz="6" w:space="0" w:color="auto"/>
            </w:tcBorders>
            <w:vAlign w:val="center"/>
          </w:tcPr>
          <w:p w14:paraId="7BD5284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1224" w:type="dxa"/>
            <w:tcBorders>
              <w:bottom w:val="single" w:sz="6" w:space="0" w:color="auto"/>
            </w:tcBorders>
            <w:vAlign w:val="center"/>
          </w:tcPr>
          <w:p w14:paraId="3B77E04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L / E / H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00E3B03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Median Δr</w:t>
            </w:r>
            <w:r>
              <w:rPr>
                <w:rFonts w:ascii="Times New Roman" w:hAnsi="Times New Roman"/>
                <w:b/>
                <w:sz w:val="20"/>
                <w:vertAlign w:val="superscript"/>
              </w:rPr>
              <w:t>(f)</w:t>
            </w:r>
          </w:p>
        </w:tc>
        <w:tc>
          <w:tcPr>
            <w:tcW w:w="2736" w:type="dxa"/>
            <w:tcBorders>
              <w:bottom w:val="single" w:sz="6" w:space="0" w:color="auto"/>
            </w:tcBorders>
            <w:vAlign w:val="center"/>
          </w:tcPr>
          <w:p w14:paraId="39EC6FE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Inference role</w:t>
            </w:r>
          </w:p>
        </w:tc>
      </w:tr>
      <w:tr w:rsidR="00CD4B0C" w:rsidRPr="009A7383" w14:paraId="67888C4F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55A7505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Primary marked field profiles</w:t>
            </w:r>
          </w:p>
        </w:tc>
        <w:tc>
          <w:tcPr>
            <w:tcW w:w="1728" w:type="dxa"/>
            <w:vAlign w:val="center"/>
          </w:tcPr>
          <w:p w14:paraId="0EC26890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Turrell H and pipe</w:t>
            </w:r>
          </w:p>
        </w:tc>
        <w:tc>
          <w:tcPr>
            <w:tcW w:w="504" w:type="dxa"/>
            <w:vAlign w:val="center"/>
          </w:tcPr>
          <w:p w14:paraId="533203F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224" w:type="dxa"/>
            <w:vAlign w:val="center"/>
          </w:tcPr>
          <w:p w14:paraId="40CE5E7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 / 0 / 11</w:t>
            </w:r>
          </w:p>
        </w:tc>
        <w:tc>
          <w:tcPr>
            <w:tcW w:w="1080" w:type="dxa"/>
            <w:vAlign w:val="center"/>
          </w:tcPr>
          <w:p w14:paraId="480BB9C0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+0.030</w:t>
            </w:r>
          </w:p>
        </w:tc>
        <w:tc>
          <w:tcPr>
            <w:tcW w:w="2736" w:type="dxa"/>
            <w:vAlign w:val="center"/>
          </w:tcPr>
          <w:p w14:paraId="04E1DA83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Primary external field check</w:t>
            </w:r>
          </w:p>
        </w:tc>
      </w:tr>
      <w:tr w:rsidR="00CD4B0C" w:rsidRPr="009A7383" w14:paraId="483BA0C9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C7B9FC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Published field traces</w:t>
            </w:r>
          </w:p>
        </w:tc>
        <w:tc>
          <w:tcPr>
            <w:tcW w:w="1728" w:type="dxa"/>
            <w:vAlign w:val="center"/>
          </w:tcPr>
          <w:p w14:paraId="2DAE1A9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Christchurch 12-m and 14-m CFA</w:t>
            </w:r>
          </w:p>
        </w:tc>
        <w:tc>
          <w:tcPr>
            <w:tcW w:w="504" w:type="dxa"/>
            <w:vAlign w:val="center"/>
          </w:tcPr>
          <w:p w14:paraId="0B3E153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224" w:type="dxa"/>
            <w:vAlign w:val="center"/>
          </w:tcPr>
          <w:p w14:paraId="67C02E4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 / 2 / 10</w:t>
            </w:r>
          </w:p>
        </w:tc>
        <w:tc>
          <w:tcPr>
            <w:tcW w:w="1080" w:type="dxa"/>
            <w:vAlign w:val="center"/>
          </w:tcPr>
          <w:p w14:paraId="52BC311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+0.022</w:t>
            </w:r>
          </w:p>
        </w:tc>
        <w:tc>
          <w:tcPr>
            <w:tcW w:w="2736" w:type="dxa"/>
            <w:vAlign w:val="center"/>
          </w:tcPr>
          <w:p w14:paraId="18B3E3EC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Secondary trace-level check</w:t>
            </w:r>
          </w:p>
        </w:tc>
      </w:tr>
      <w:tr w:rsidR="00CD4B0C" w:rsidRPr="009A7383" w14:paraId="12F0929E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29426D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Quality-qualified field sensitivity</w:t>
            </w:r>
          </w:p>
        </w:tc>
        <w:tc>
          <w:tcPr>
            <w:tcW w:w="1728" w:type="dxa"/>
            <w:vAlign w:val="center"/>
          </w:tcPr>
          <w:p w14:paraId="78A4096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Turrell concrete</w:t>
            </w:r>
          </w:p>
        </w:tc>
        <w:tc>
          <w:tcPr>
            <w:tcW w:w="504" w:type="dxa"/>
            <w:vAlign w:val="center"/>
          </w:tcPr>
          <w:p w14:paraId="4809D729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224" w:type="dxa"/>
            <w:vAlign w:val="center"/>
          </w:tcPr>
          <w:p w14:paraId="3C902DD1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3 / 1 / 2</w:t>
            </w:r>
          </w:p>
        </w:tc>
        <w:tc>
          <w:tcPr>
            <w:tcW w:w="1080" w:type="dxa"/>
            <w:vAlign w:val="center"/>
          </w:tcPr>
          <w:p w14:paraId="023A7050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−0.016</w:t>
            </w:r>
          </w:p>
        </w:tc>
        <w:tc>
          <w:tcPr>
            <w:tcW w:w="2736" w:type="dxa"/>
            <w:vAlign w:val="center"/>
          </w:tcPr>
          <w:p w14:paraId="16F3682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Sensitivity only</w:t>
            </w:r>
          </w:p>
        </w:tc>
      </w:tr>
      <w:tr w:rsidR="00CD4B0C" w:rsidRPr="009A7383" w14:paraId="39B553E7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2358314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Resolution-limited centrifuge sensitivity</w:t>
            </w:r>
          </w:p>
        </w:tc>
        <w:tc>
          <w:tcPr>
            <w:tcW w:w="1728" w:type="dxa"/>
            <w:vAlign w:val="center"/>
          </w:tcPr>
          <w:p w14:paraId="49F25B46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Cambridge MS09</w:t>
            </w:r>
          </w:p>
        </w:tc>
        <w:tc>
          <w:tcPr>
            <w:tcW w:w="504" w:type="dxa"/>
            <w:vAlign w:val="center"/>
          </w:tcPr>
          <w:p w14:paraId="71A4716E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24" w:type="dxa"/>
            <w:vAlign w:val="center"/>
          </w:tcPr>
          <w:p w14:paraId="4CA08378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 / 1 / 3</w:t>
            </w:r>
          </w:p>
        </w:tc>
        <w:tc>
          <w:tcPr>
            <w:tcW w:w="1080" w:type="dxa"/>
            <w:vAlign w:val="center"/>
          </w:tcPr>
          <w:p w14:paraId="44E06BD5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+0.020</w:t>
            </w:r>
          </w:p>
        </w:tc>
        <w:tc>
          <w:tcPr>
            <w:tcW w:w="2736" w:type="dxa"/>
            <w:vAlign w:val="center"/>
          </w:tcPr>
          <w:p w14:paraId="7095B107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Sensitivity only</w:t>
            </w:r>
          </w:p>
        </w:tc>
      </w:tr>
    </w:tbl>
    <w:p w14:paraId="7C609038" w14:textId="77777777" w:rsidR="00C03B1E" w:rsidRDefault="00000000">
      <w:r>
        <w:rPr>
          <w:rFonts w:ascii="Times New Roman" w:hAnsi="Times New Roman"/>
          <w:sz w:val="20"/>
        </w:rPr>
        <w:t>Source: Data from Kevan (2017), FHWA (2017), and Stringer (2012).</w:t>
      </w:r>
    </w:p>
    <w:p w14:paraId="1F89A33D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Note: Δr</w:t>
      </w:r>
      <w:r>
        <w:rPr>
          <w:rFonts w:ascii="Times New Roman" w:hAnsi="Times New Roman"/>
          <w:sz w:val="20"/>
          <w:vertAlign w:val="superscript"/>
        </w:rPr>
        <w:t>(f)</w:t>
      </w:r>
      <w:r>
        <w:rPr>
          <w:rFonts w:ascii="Times New Roman" w:hAnsi="Times New Roman"/>
          <w:sz w:val="20"/>
        </w:rPr>
        <w:t xml:space="preserve"> denotes frozen candidate minus uniform NRMSE; negative values favour the candidate. L/E/H denotes lower, practically equivalent, and higher error using a ±0.005 tolerance. Counts are descriptive profile comparisons, not independent field trials or probability estimates.</w:t>
      </w:r>
    </w:p>
    <w:p w14:paraId="7E482E67" w14:textId="77777777" w:rsidR="00C03B1E" w:rsidRDefault="00000000" w:rsidP="0006709B">
      <w:pPr>
        <w:keepNext/>
        <w:spacing w:before="120"/>
        <w:jc w:val="center"/>
      </w:pPr>
      <w:r>
        <w:rPr>
          <w:rFonts w:ascii="Times New Roman" w:hAnsi="Times New Roman"/>
          <w:b/>
          <w:sz w:val="20"/>
        </w:rPr>
        <w:lastRenderedPageBreak/>
        <w:t xml:space="preserve">Table S6. </w:t>
      </w:r>
      <w:r w:rsidRPr="0006709B">
        <w:rPr>
          <w:rFonts w:ascii="Times New Roman" w:hAnsi="Times New Roman"/>
          <w:bCs/>
          <w:sz w:val="20"/>
        </w:rPr>
        <w:t>Sampling, comparator-population and protocol-sensitivity summary</w:t>
      </w:r>
    </w:p>
    <w:tbl>
      <w:tblPr>
        <w:tblW w:w="936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656"/>
        <w:gridCol w:w="1368"/>
        <w:gridCol w:w="3096"/>
        <w:gridCol w:w="1728"/>
      </w:tblGrid>
      <w:tr w:rsidR="00CD4B0C" w:rsidRPr="009A7383" w14:paraId="4F9CAA52" w14:textId="77777777">
        <w:trPr>
          <w:tblHeader/>
          <w:jc w:val="center"/>
        </w:trPr>
        <w:tc>
          <w:tcPr>
            <w:tcW w:w="1512" w:type="dxa"/>
            <w:tcBorders>
              <w:bottom w:val="single" w:sz="6" w:space="0" w:color="auto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291E0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Check</w:t>
            </w:r>
          </w:p>
        </w:tc>
        <w:tc>
          <w:tcPr>
            <w:tcW w:w="1656" w:type="dxa"/>
            <w:tcBorders>
              <w:bottom w:val="single" w:sz="6" w:space="0" w:color="auto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2C3A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Direction or evidence</w:t>
            </w:r>
          </w:p>
        </w:tc>
        <w:tc>
          <w:tcPr>
            <w:tcW w:w="1368" w:type="dxa"/>
            <w:tcBorders>
              <w:bottom w:val="single" w:sz="6" w:space="0" w:color="auto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C87280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b or protocol</w:t>
            </w:r>
          </w:p>
        </w:tc>
        <w:tc>
          <w:tcPr>
            <w:tcW w:w="3096" w:type="dxa"/>
            <w:tcBorders>
              <w:bottom w:val="single" w:sz="6" w:space="0" w:color="auto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D5F2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  <w:tc>
          <w:tcPr>
            <w:tcW w:w="1728" w:type="dxa"/>
            <w:tcBorders>
              <w:bottom w:val="single" w:sz="6" w:space="0" w:color="auto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8666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Interpretive boundary</w:t>
            </w:r>
          </w:p>
        </w:tc>
      </w:tr>
      <w:tr w:rsidR="00CD4B0C" w:rsidRPr="009A7383" w14:paraId="57B20C1C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3EFB3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Leave-one-event-out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37FDE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source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4D5C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2/3/4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ABA2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Exact match 100/100/100%; better 5/6, 6/6, 6/6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3D86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Source-sample stability only</w:t>
            </w:r>
          </w:p>
        </w:tc>
      </w:tr>
      <w:tr w:rsidR="00CD4B0C" w:rsidRPr="009A7383" w14:paraId="0744E7CF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87719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Leave-one-event-out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1DFC3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source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1603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2/3/4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B5B59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Exact match 80/60/80%; better 5/5 at each b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051D61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Source-sample stability only</w:t>
            </w:r>
          </w:p>
        </w:tc>
      </w:tr>
      <w:tr w:rsidR="00CD4B0C" w:rsidRPr="009A7383" w14:paraId="10238D66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7DB44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All admissible layouts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B18C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739C70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2/3/4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522F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Outperformed 71/63/83%; ranks 6/21, 13/35, 6/35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5C4DDB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Target responses used only for audit</w:t>
            </w:r>
          </w:p>
        </w:tc>
      </w:tr>
      <w:tr w:rsidR="00CD4B0C" w:rsidRPr="009A7383" w14:paraId="4BFC86CA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4366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All admissible layouts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8F28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CF35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2/3/4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049B2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Outperformed 43/69/86%; ranks 12/21, 11/35, 5/35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7D32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Target responses used only for audit</w:t>
            </w:r>
          </w:p>
        </w:tc>
      </w:tr>
      <w:tr w:rsidR="00CD4B0C" w:rsidRPr="009A7383" w14:paraId="7D77F47F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CBCFD8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Lower boundary retained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F170D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SKS02 → SKS03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33DC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6BCC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Candidate 0.113; uniform 0.279; median Δ = −0.170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63B26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Configuration sensitivity</w:t>
            </w:r>
          </w:p>
        </w:tc>
      </w:tr>
      <w:tr w:rsidR="00CD4B0C" w:rsidRPr="009A7383" w14:paraId="329055E6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EBA837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Lower boundary retained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A13E6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SKS03 → SKS02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35845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 = 2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BE3604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Candidate 0.210; uniform 0.218; median Δ = −0.009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B2753" w14:textId="77777777" w:rsidR="000430F8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Primary higher-error result is protocol dependent</w:t>
            </w:r>
          </w:p>
        </w:tc>
      </w:tr>
      <w:tr w:rsidR="00CD4B0C" w:rsidRPr="009A7383" w14:paraId="244F54F4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C1B9D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Full-scale profiles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C45AE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Original layout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9F06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Linear / PCHIP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8E1EF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L/E/H = 1/2/21 and 2/5/17; median Δ = +0.022/+0.024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055FA" w14:textId="77777777" w:rsidR="00CD4B0C" w:rsidRPr="009A7383" w:rsidRDefault="008D78AE" w:rsidP="0029211A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Descriptive, tolerance ±0.005</w:t>
            </w:r>
          </w:p>
        </w:tc>
      </w:tr>
      <w:tr w:rsidR="00CD4B0C" w:rsidRPr="009A7383" w14:paraId="7BE2BA7F" w14:textId="77777777">
        <w:trPr>
          <w:cantSplit/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AD528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Full-scale profiles</w:t>
            </w:r>
          </w:p>
        </w:tc>
        <w:tc>
          <w:tcPr>
            <w:tcW w:w="165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02212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Boundary-constrained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37CB67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Linear / PCHIP</w:t>
            </w: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31778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L/E/H = 1/2/21 and 2/7/15; median Δ = +0.025/+0.012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82366" w14:textId="77777777" w:rsidR="00CD4B0C" w:rsidRPr="009A7383" w:rsidRDefault="008D78AE" w:rsidP="0029211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Descriptive, tolerance ±0.005</w:t>
            </w:r>
          </w:p>
        </w:tc>
      </w:tr>
    </w:tbl>
    <w:p w14:paraId="44198E0D" w14:textId="77777777" w:rsidR="00C03B1E" w:rsidRDefault="00000000">
      <w:r>
        <w:rPr>
          <w:rFonts w:ascii="Times New Roman" w:hAnsi="Times New Roman"/>
          <w:sz w:val="20"/>
        </w:rPr>
        <w:t>Source: Data from Sinha et al. (2020a, b), Kevan (2017), and FHWA (2017).</w:t>
      </w:r>
    </w:p>
    <w:p w14:paraId="236B6E1A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Note: b is the number of stations added to the fixed upper boundary; n</w:t>
      </w:r>
      <w:r>
        <w:rPr>
          <w:rFonts w:ascii="Times New Roman" w:hAnsi="Times New Roman"/>
          <w:sz w:val="20"/>
          <w:vertAlign w:val="subscript"/>
        </w:rPr>
        <w:t>s</w:t>
      </w:r>
      <w:r>
        <w:rPr>
          <w:rFonts w:ascii="Times New Roman" w:hAnsi="Times New Roman"/>
          <w:sz w:val="20"/>
        </w:rPr>
        <w:t xml:space="preserve"> = b + 1. L/E/H denotes lower, practically equivalent and higher error. Ranks use every admissible target-grid layout and do not alter the frozen layout.</w:t>
      </w:r>
    </w:p>
    <w:p w14:paraId="6B6BAC11" w14:textId="77777777" w:rsidR="00C03B1E" w:rsidRDefault="00000000">
      <w:pPr>
        <w:keepNext/>
        <w:pageBreakBefore/>
      </w:pPr>
      <w:r>
        <w:rPr>
          <w:rFonts w:ascii="Times New Roman" w:hAnsi="Times New Roman"/>
          <w:b/>
          <w:sz w:val="20"/>
        </w:rPr>
        <w:lastRenderedPageBreak/>
        <w:t>Phase-specific diagnostic protocol</w:t>
      </w:r>
    </w:p>
    <w:p w14:paraId="1CB4F31A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Input acceleration is in seconds; axial-load and Keller pore-pressure times are converted from minutes. Their timestamps match exactly for all 22 eight-level histories. At each fast/slow join, only times exceeding every preceding timestamp are retained, removing one pressure row per SKS02 event and two per SKS03 event; axial records receive the same rule. Missing responses are not interpolated. The whole-history benchmark uses file order; this diagnostic uses elapsed time.</w:t>
      </w:r>
    </w:p>
    <w:p w14:paraId="64DEE7B6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Shaking spans 5–95% of the cumulative trapezoidal integral of squared input acceleration. The pressure proxy is the 90th percentile across available non-flat Keller channels, clipping negative ratios to zero, then applying a centred 3-s elapsed-time mean. At least 80% of channels must be available; missing values are not imputed. The reference peak spans shaking onset to 60 s after shaking ends. Decay begins at the first post-shaking timestamp starting an observed interval of at least 60 s entirely below the chosen peak fraction, with no consecutive gap exceeding 60 s.</w:t>
      </w:r>
    </w:p>
    <w:p w14:paraId="566C24F5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The primary peak fraction is 0.50; 0.25 and 0.75 are sensitivities. A reference peak below 0.10 precludes decay partitioning, excluding SKS02 EQM1 from post-shaking phases but not shaking. These operational thresholds do not define liquefaction or complete dissipation. Before-decay and after-decay periods extend from shaking end to the boundary and from the boundary to the common record end (Table S7).</w:t>
      </w:r>
    </w:p>
    <w:p w14:paraId="0DD29DCE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Loads are unsmoothed or use centred elapsed-time means of 6 s for Pile 1 and 3 s otherwise, with half-window phase-edge guards. Up to 120 distinct measured times nearest evenly spaced elapsed-time targets are retained per phase; 240 is a sensitivity. At least ten snapshots are required. Three peak fractions, two smoothing choices and two caps give 12 settings. Repeated shaking results across fractions are not independent checks. Elapsed-time smoothing avoids treating slow-logging row windows as few-second intervals.</w:t>
      </w:r>
    </w:p>
    <w:p w14:paraId="63FC904C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Original and previously boundary-retained layouts remain fixed for b = 2–4. Equations (3), (4), (9) and (10) define snapshot errors; Eq. (5) is restricted to each phase. Equation (7) aggregates paired pile differences within earthquakes. Event medians, ranges and signs are descriptive, without new population intervals. Table S8 and Fig. S4 show b = 2; CSV files retain every budget, response objective and setting.</w:t>
      </w:r>
    </w:p>
    <w:p w14:paraId="6B3890BE" w14:textId="77777777" w:rsidR="00C03B1E" w:rsidRPr="0006709B" w:rsidRDefault="00000000" w:rsidP="0006709B">
      <w:pPr>
        <w:keepNext/>
        <w:pageBreakBefore/>
        <w:jc w:val="center"/>
        <w:rPr>
          <w:bCs/>
        </w:rPr>
      </w:pPr>
      <w:r>
        <w:rPr>
          <w:rFonts w:ascii="Times New Roman" w:hAnsi="Times New Roman"/>
          <w:b/>
          <w:sz w:val="20"/>
        </w:rPr>
        <w:lastRenderedPageBreak/>
        <w:t xml:space="preserve">Table S7. </w:t>
      </w:r>
      <w:r w:rsidRPr="0006709B">
        <w:rPr>
          <w:rFonts w:ascii="Times New Roman" w:hAnsi="Times New Roman"/>
          <w:bCs/>
          <w:sz w:val="20"/>
        </w:rPr>
        <w:t>Phase boundaries for the primary decay fraction of 0.50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1512"/>
        <w:gridCol w:w="1872"/>
        <w:gridCol w:w="2448"/>
      </w:tblGrid>
      <w:tr w:rsidR="00C03B1E" w14:paraId="71DD8A5C" w14:textId="77777777">
        <w:trPr>
          <w:cantSplit/>
          <w:tblHeader/>
        </w:trPr>
        <w:tc>
          <w:tcPr>
            <w:tcW w:w="1584" w:type="dxa"/>
            <w:tcBorders>
              <w:bottom w:val="single" w:sz="6" w:space="0" w:color="auto"/>
            </w:tcBorders>
          </w:tcPr>
          <w:p w14:paraId="7415C0C2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Test / event</w:t>
            </w:r>
          </w:p>
        </w:tc>
        <w:tc>
          <w:tcPr>
            <w:tcW w:w="1944" w:type="dxa"/>
            <w:tcBorders>
              <w:bottom w:val="single" w:sz="6" w:space="0" w:color="auto"/>
            </w:tcBorders>
          </w:tcPr>
          <w:p w14:paraId="0190B683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Shaking (s)</w:t>
            </w:r>
          </w:p>
        </w:tc>
        <w:tc>
          <w:tcPr>
            <w:tcW w:w="1512" w:type="dxa"/>
            <w:tcBorders>
              <w:bottom w:val="single" w:sz="6" w:space="0" w:color="auto"/>
            </w:tcBorders>
          </w:tcPr>
          <w:p w14:paraId="27B65F96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Pressure peak</w:t>
            </w:r>
          </w:p>
        </w:tc>
        <w:tc>
          <w:tcPr>
            <w:tcW w:w="1872" w:type="dxa"/>
            <w:tcBorders>
              <w:bottom w:val="single" w:sz="6" w:space="0" w:color="auto"/>
            </w:tcBorders>
          </w:tcPr>
          <w:p w14:paraId="1A7DC67A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Decay time (s)</w:t>
            </w:r>
          </w:p>
        </w:tc>
        <w:tc>
          <w:tcPr>
            <w:tcW w:w="2448" w:type="dxa"/>
            <w:tcBorders>
              <w:bottom w:val="single" w:sz="6" w:space="0" w:color="auto"/>
            </w:tcBorders>
          </w:tcPr>
          <w:p w14:paraId="6633F226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Preceding interval (s)</w:t>
            </w:r>
          </w:p>
        </w:tc>
      </w:tr>
      <w:tr w:rsidR="00C03B1E" w14:paraId="2078FE9E" w14:textId="77777777">
        <w:trPr>
          <w:cantSplit/>
        </w:trPr>
        <w:tc>
          <w:tcPr>
            <w:tcW w:w="1584" w:type="dxa"/>
          </w:tcPr>
          <w:p w14:paraId="5B11D8D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E1</w:t>
            </w:r>
          </w:p>
        </w:tc>
        <w:tc>
          <w:tcPr>
            <w:tcW w:w="1944" w:type="dxa"/>
          </w:tcPr>
          <w:p w14:paraId="56B7AB4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1.21–14.98</w:t>
            </w:r>
          </w:p>
        </w:tc>
        <w:tc>
          <w:tcPr>
            <w:tcW w:w="1512" w:type="dxa"/>
          </w:tcPr>
          <w:p w14:paraId="5F31DAF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w="1872" w:type="dxa"/>
          </w:tcPr>
          <w:p w14:paraId="16A932D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Not assigned</w:t>
            </w:r>
          </w:p>
        </w:tc>
        <w:tc>
          <w:tcPr>
            <w:tcW w:w="2448" w:type="dxa"/>
          </w:tcPr>
          <w:p w14:paraId="740FE2B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C03B1E" w14:paraId="2F3D89C0" w14:textId="77777777">
        <w:trPr>
          <w:cantSplit/>
        </w:trPr>
        <w:tc>
          <w:tcPr>
            <w:tcW w:w="1584" w:type="dxa"/>
          </w:tcPr>
          <w:p w14:paraId="5CCCA42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E2</w:t>
            </w:r>
          </w:p>
        </w:tc>
        <w:tc>
          <w:tcPr>
            <w:tcW w:w="1944" w:type="dxa"/>
          </w:tcPr>
          <w:p w14:paraId="31C335B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2.72–13.39</w:t>
            </w:r>
          </w:p>
        </w:tc>
        <w:tc>
          <w:tcPr>
            <w:tcW w:w="1512" w:type="dxa"/>
          </w:tcPr>
          <w:p w14:paraId="28F00EB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  <w:tc>
          <w:tcPr>
            <w:tcW w:w="1872" w:type="dxa"/>
          </w:tcPr>
          <w:p w14:paraId="1C7036A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692.38</w:t>
            </w:r>
          </w:p>
        </w:tc>
        <w:tc>
          <w:tcPr>
            <w:tcW w:w="2448" w:type="dxa"/>
          </w:tcPr>
          <w:p w14:paraId="17EE624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 w:rsidR="00C03B1E" w14:paraId="079B224F" w14:textId="77777777">
        <w:trPr>
          <w:cantSplit/>
        </w:trPr>
        <w:tc>
          <w:tcPr>
            <w:tcW w:w="1584" w:type="dxa"/>
          </w:tcPr>
          <w:p w14:paraId="66DA4E8F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E3</w:t>
            </w:r>
          </w:p>
        </w:tc>
        <w:tc>
          <w:tcPr>
            <w:tcW w:w="1944" w:type="dxa"/>
          </w:tcPr>
          <w:p w14:paraId="6004AC8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2.02–12.11</w:t>
            </w:r>
          </w:p>
        </w:tc>
        <w:tc>
          <w:tcPr>
            <w:tcW w:w="1512" w:type="dxa"/>
          </w:tcPr>
          <w:p w14:paraId="2E5C669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0.999</w:t>
            </w:r>
          </w:p>
        </w:tc>
        <w:tc>
          <w:tcPr>
            <w:tcW w:w="1872" w:type="dxa"/>
          </w:tcPr>
          <w:p w14:paraId="29D80EF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552.21</w:t>
            </w:r>
          </w:p>
        </w:tc>
        <w:tc>
          <w:tcPr>
            <w:tcW w:w="2448" w:type="dxa"/>
          </w:tcPr>
          <w:p w14:paraId="60C1D87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 w:rsidR="00C03B1E" w14:paraId="4F08A8CA" w14:textId="77777777">
        <w:trPr>
          <w:cantSplit/>
        </w:trPr>
        <w:tc>
          <w:tcPr>
            <w:tcW w:w="1584" w:type="dxa"/>
          </w:tcPr>
          <w:p w14:paraId="657FDD9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E4</w:t>
            </w:r>
          </w:p>
        </w:tc>
        <w:tc>
          <w:tcPr>
            <w:tcW w:w="1944" w:type="dxa"/>
          </w:tcPr>
          <w:p w14:paraId="75646F6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2.53–13.19</w:t>
            </w:r>
          </w:p>
        </w:tc>
        <w:tc>
          <w:tcPr>
            <w:tcW w:w="1512" w:type="dxa"/>
          </w:tcPr>
          <w:p w14:paraId="291286D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w="1872" w:type="dxa"/>
          </w:tcPr>
          <w:p w14:paraId="46CB46B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1961.62</w:t>
            </w:r>
          </w:p>
        </w:tc>
        <w:tc>
          <w:tcPr>
            <w:tcW w:w="2448" w:type="dxa"/>
          </w:tcPr>
          <w:p w14:paraId="7F6489D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39.883</w:t>
            </w:r>
          </w:p>
        </w:tc>
      </w:tr>
      <w:tr w:rsidR="00C03B1E" w14:paraId="348689A4" w14:textId="77777777">
        <w:trPr>
          <w:cantSplit/>
        </w:trPr>
        <w:tc>
          <w:tcPr>
            <w:tcW w:w="1584" w:type="dxa"/>
          </w:tcPr>
          <w:p w14:paraId="1A40235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E5</w:t>
            </w:r>
          </w:p>
        </w:tc>
        <w:tc>
          <w:tcPr>
            <w:tcW w:w="1944" w:type="dxa"/>
          </w:tcPr>
          <w:p w14:paraId="29980E1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4.51–14.94</w:t>
            </w:r>
          </w:p>
        </w:tc>
        <w:tc>
          <w:tcPr>
            <w:tcW w:w="1512" w:type="dxa"/>
          </w:tcPr>
          <w:p w14:paraId="4961EB5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0.965</w:t>
            </w:r>
          </w:p>
        </w:tc>
        <w:tc>
          <w:tcPr>
            <w:tcW w:w="1872" w:type="dxa"/>
          </w:tcPr>
          <w:p w14:paraId="4C8D3D2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681.87</w:t>
            </w:r>
          </w:p>
        </w:tc>
        <w:tc>
          <w:tcPr>
            <w:tcW w:w="2448" w:type="dxa"/>
          </w:tcPr>
          <w:p w14:paraId="6170840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39.961</w:t>
            </w:r>
          </w:p>
        </w:tc>
      </w:tr>
      <w:tr w:rsidR="00C03B1E" w14:paraId="29D6A518" w14:textId="77777777">
        <w:trPr>
          <w:cantSplit/>
        </w:trPr>
        <w:tc>
          <w:tcPr>
            <w:tcW w:w="1584" w:type="dxa"/>
          </w:tcPr>
          <w:p w14:paraId="285B24C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 E6</w:t>
            </w:r>
          </w:p>
        </w:tc>
        <w:tc>
          <w:tcPr>
            <w:tcW w:w="1944" w:type="dxa"/>
          </w:tcPr>
          <w:p w14:paraId="4B9EDC1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3.52–56.27</w:t>
            </w:r>
          </w:p>
        </w:tc>
        <w:tc>
          <w:tcPr>
            <w:tcW w:w="1512" w:type="dxa"/>
          </w:tcPr>
          <w:p w14:paraId="286DD9C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0.966</w:t>
            </w:r>
          </w:p>
        </w:tc>
        <w:tc>
          <w:tcPr>
            <w:tcW w:w="1872" w:type="dxa"/>
          </w:tcPr>
          <w:p w14:paraId="1948CACA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292.65</w:t>
            </w:r>
          </w:p>
        </w:tc>
        <w:tc>
          <w:tcPr>
            <w:tcW w:w="2448" w:type="dxa"/>
          </w:tcPr>
          <w:p w14:paraId="189867E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 w:rsidR="00C03B1E" w14:paraId="11210E13" w14:textId="77777777">
        <w:trPr>
          <w:cantSplit/>
        </w:trPr>
        <w:tc>
          <w:tcPr>
            <w:tcW w:w="1584" w:type="dxa"/>
          </w:tcPr>
          <w:p w14:paraId="2A88489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 E1</w:t>
            </w:r>
          </w:p>
        </w:tc>
        <w:tc>
          <w:tcPr>
            <w:tcW w:w="1944" w:type="dxa"/>
          </w:tcPr>
          <w:p w14:paraId="4955652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5.20–15.91</w:t>
            </w:r>
          </w:p>
        </w:tc>
        <w:tc>
          <w:tcPr>
            <w:tcW w:w="1512" w:type="dxa"/>
          </w:tcPr>
          <w:p w14:paraId="6C17628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1.049</w:t>
            </w:r>
          </w:p>
        </w:tc>
        <w:tc>
          <w:tcPr>
            <w:tcW w:w="1872" w:type="dxa"/>
          </w:tcPr>
          <w:p w14:paraId="582B1C6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229.02</w:t>
            </w:r>
          </w:p>
        </w:tc>
        <w:tc>
          <w:tcPr>
            <w:tcW w:w="2448" w:type="dxa"/>
          </w:tcPr>
          <w:p w14:paraId="08ED429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 w:rsidR="00C03B1E" w14:paraId="5A3B498B" w14:textId="77777777">
        <w:trPr>
          <w:cantSplit/>
        </w:trPr>
        <w:tc>
          <w:tcPr>
            <w:tcW w:w="1584" w:type="dxa"/>
          </w:tcPr>
          <w:p w14:paraId="3C25B99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 E2</w:t>
            </w:r>
          </w:p>
        </w:tc>
        <w:tc>
          <w:tcPr>
            <w:tcW w:w="1944" w:type="dxa"/>
          </w:tcPr>
          <w:p w14:paraId="0E4E4CD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5.06–15.77</w:t>
            </w:r>
          </w:p>
        </w:tc>
        <w:tc>
          <w:tcPr>
            <w:tcW w:w="1512" w:type="dxa"/>
          </w:tcPr>
          <w:p w14:paraId="6CE5E22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1.075</w:t>
            </w:r>
          </w:p>
        </w:tc>
        <w:tc>
          <w:tcPr>
            <w:tcW w:w="1872" w:type="dxa"/>
          </w:tcPr>
          <w:p w14:paraId="4A214E5A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564.26</w:t>
            </w:r>
          </w:p>
        </w:tc>
        <w:tc>
          <w:tcPr>
            <w:tcW w:w="2448" w:type="dxa"/>
          </w:tcPr>
          <w:p w14:paraId="7AC7B36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40.039</w:t>
            </w:r>
          </w:p>
        </w:tc>
      </w:tr>
      <w:tr w:rsidR="00C03B1E" w14:paraId="4A7E4662" w14:textId="77777777">
        <w:trPr>
          <w:cantSplit/>
        </w:trPr>
        <w:tc>
          <w:tcPr>
            <w:tcW w:w="1584" w:type="dxa"/>
          </w:tcPr>
          <w:p w14:paraId="2F81378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 E3</w:t>
            </w:r>
          </w:p>
        </w:tc>
        <w:tc>
          <w:tcPr>
            <w:tcW w:w="1944" w:type="dxa"/>
          </w:tcPr>
          <w:p w14:paraId="0B3C34A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4.69–15.41</w:t>
            </w:r>
          </w:p>
        </w:tc>
        <w:tc>
          <w:tcPr>
            <w:tcW w:w="1512" w:type="dxa"/>
          </w:tcPr>
          <w:p w14:paraId="1FBD8347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1.130</w:t>
            </w:r>
          </w:p>
        </w:tc>
        <w:tc>
          <w:tcPr>
            <w:tcW w:w="1872" w:type="dxa"/>
          </w:tcPr>
          <w:p w14:paraId="4461F7A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823.40</w:t>
            </w:r>
          </w:p>
        </w:tc>
        <w:tc>
          <w:tcPr>
            <w:tcW w:w="2448" w:type="dxa"/>
          </w:tcPr>
          <w:p w14:paraId="7D65EE9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39.961</w:t>
            </w:r>
          </w:p>
        </w:tc>
      </w:tr>
      <w:tr w:rsidR="00C03B1E" w14:paraId="2617FA41" w14:textId="77777777">
        <w:trPr>
          <w:cantSplit/>
        </w:trPr>
        <w:tc>
          <w:tcPr>
            <w:tcW w:w="1584" w:type="dxa"/>
          </w:tcPr>
          <w:p w14:paraId="695EF47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 E4</w:t>
            </w:r>
          </w:p>
        </w:tc>
        <w:tc>
          <w:tcPr>
            <w:tcW w:w="1944" w:type="dxa"/>
          </w:tcPr>
          <w:p w14:paraId="7AD480E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5.41–60.06</w:t>
            </w:r>
          </w:p>
        </w:tc>
        <w:tc>
          <w:tcPr>
            <w:tcW w:w="1512" w:type="dxa"/>
          </w:tcPr>
          <w:p w14:paraId="4561B5F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1.205</w:t>
            </w:r>
          </w:p>
        </w:tc>
        <w:tc>
          <w:tcPr>
            <w:tcW w:w="1872" w:type="dxa"/>
          </w:tcPr>
          <w:p w14:paraId="508ED0C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1185.88</w:t>
            </w:r>
          </w:p>
        </w:tc>
        <w:tc>
          <w:tcPr>
            <w:tcW w:w="2448" w:type="dxa"/>
          </w:tcPr>
          <w:p w14:paraId="11EC021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41.367</w:t>
            </w:r>
          </w:p>
        </w:tc>
      </w:tr>
      <w:tr w:rsidR="00C03B1E" w14:paraId="55C6E4F4" w14:textId="77777777">
        <w:trPr>
          <w:cantSplit/>
        </w:trPr>
        <w:tc>
          <w:tcPr>
            <w:tcW w:w="1584" w:type="dxa"/>
          </w:tcPr>
          <w:p w14:paraId="00E84C4F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 E5</w:t>
            </w:r>
          </w:p>
        </w:tc>
        <w:tc>
          <w:tcPr>
            <w:tcW w:w="1944" w:type="dxa"/>
          </w:tcPr>
          <w:p w14:paraId="6AC42B1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5.68–67.82</w:t>
            </w:r>
          </w:p>
        </w:tc>
        <w:tc>
          <w:tcPr>
            <w:tcW w:w="1512" w:type="dxa"/>
          </w:tcPr>
          <w:p w14:paraId="02B7157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1.442</w:t>
            </w:r>
          </w:p>
        </w:tc>
        <w:tc>
          <w:tcPr>
            <w:tcW w:w="1872" w:type="dxa"/>
          </w:tcPr>
          <w:p w14:paraId="44C01787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1183.93</w:t>
            </w:r>
          </w:p>
        </w:tc>
        <w:tc>
          <w:tcPr>
            <w:tcW w:w="2448" w:type="dxa"/>
          </w:tcPr>
          <w:p w14:paraId="18537BF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40.000</w:t>
            </w:r>
          </w:p>
        </w:tc>
      </w:tr>
    </w:tbl>
    <w:p w14:paraId="4A4A5003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Source: Sinha et al. (2020a, b). Times are from input-motion onset. The pressure peak is a dimensionless multi-channel proxy, not a layer-specific maximum. The preceding recorded interval indicates boundary resolution; it is not a confidence bound. SKS02 EQM1 falls below the operational pressure-response floor. Ten of ten eligible post-shaking events and all 11 shaking events contribute; repeated piles remain aggregated within events.</w:t>
      </w:r>
    </w:p>
    <w:p w14:paraId="1FEC6818" w14:textId="77777777" w:rsidR="00C03B1E" w:rsidRPr="0006709B" w:rsidRDefault="00000000" w:rsidP="0006709B">
      <w:pPr>
        <w:keepNext/>
        <w:pageBreakBefore/>
        <w:jc w:val="center"/>
        <w:rPr>
          <w:bCs/>
        </w:rPr>
      </w:pPr>
      <w:r>
        <w:rPr>
          <w:rFonts w:ascii="Times New Roman" w:hAnsi="Times New Roman"/>
          <w:b/>
          <w:sz w:val="20"/>
        </w:rPr>
        <w:lastRenderedPageBreak/>
        <w:t xml:space="preserve">Table S8. </w:t>
      </w:r>
      <w:r w:rsidRPr="0006709B">
        <w:rPr>
          <w:rFonts w:ascii="Times New Roman" w:hAnsi="Times New Roman"/>
          <w:bCs/>
          <w:sz w:val="20"/>
        </w:rPr>
        <w:t>Three-station phase-specific paired profile-error differences</w:t>
      </w:r>
    </w:p>
    <w:tbl>
      <w:tblPr>
        <w:tblW w:w="9360" w:type="dxa"/>
        <w:tblInd w:w="120" w:type="dxa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440"/>
        <w:gridCol w:w="1440"/>
        <w:gridCol w:w="432"/>
        <w:gridCol w:w="1152"/>
        <w:gridCol w:w="2016"/>
        <w:gridCol w:w="1224"/>
      </w:tblGrid>
      <w:tr w:rsidR="00C03B1E" w14:paraId="3EE9C5FB" w14:textId="77777777">
        <w:trPr>
          <w:cantSplit/>
          <w:tblHeader/>
        </w:trPr>
        <w:tc>
          <w:tcPr>
            <w:tcW w:w="1656" w:type="dxa"/>
            <w:tcBorders>
              <w:bottom w:val="single" w:sz="6" w:space="0" w:color="auto"/>
            </w:tcBorders>
          </w:tcPr>
          <w:p w14:paraId="4B6234DD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Source→target</w:t>
            </w:r>
          </w:p>
        </w:tc>
        <w:tc>
          <w:tcPr>
            <w:tcW w:w="1440" w:type="dxa"/>
            <w:tcBorders>
              <w:bottom w:val="single" w:sz="6" w:space="0" w:color="auto"/>
            </w:tcBorders>
          </w:tcPr>
          <w:p w14:paraId="1192DB74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Layout</w:t>
            </w:r>
          </w:p>
        </w:tc>
        <w:tc>
          <w:tcPr>
            <w:tcW w:w="1440" w:type="dxa"/>
            <w:tcBorders>
              <w:bottom w:val="single" w:sz="6" w:space="0" w:color="auto"/>
            </w:tcBorders>
          </w:tcPr>
          <w:p w14:paraId="49F9AA76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w="432" w:type="dxa"/>
            <w:tcBorders>
              <w:bottom w:val="single" w:sz="6" w:space="0" w:color="auto"/>
            </w:tcBorders>
          </w:tcPr>
          <w:p w14:paraId="0A0D48FD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1152" w:type="dxa"/>
            <w:tcBorders>
              <w:bottom w:val="single" w:sz="6" w:space="0" w:color="auto"/>
            </w:tcBorders>
          </w:tcPr>
          <w:p w14:paraId="3AB5B667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Median Δ</w:t>
            </w:r>
          </w:p>
        </w:tc>
        <w:tc>
          <w:tcPr>
            <w:tcW w:w="2016" w:type="dxa"/>
            <w:tcBorders>
              <w:bottom w:val="single" w:sz="6" w:space="0" w:color="auto"/>
            </w:tcBorders>
          </w:tcPr>
          <w:p w14:paraId="68235280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Event range</w:t>
            </w:r>
          </w:p>
        </w:tc>
        <w:tc>
          <w:tcPr>
            <w:tcW w:w="1224" w:type="dxa"/>
            <w:tcBorders>
              <w:bottom w:val="single" w:sz="6" w:space="0" w:color="auto"/>
            </w:tcBorders>
          </w:tcPr>
          <w:p w14:paraId="2E20E479" w14:textId="77777777" w:rsidR="00C03B1E" w:rsidRDefault="00000000">
            <w:pPr>
              <w:keepNext/>
              <w:spacing w:before="80" w:after="80" w:line="264" w:lineRule="auto"/>
            </w:pPr>
            <w:r>
              <w:rPr>
                <w:rFonts w:ascii="Times New Roman" w:hAnsi="Times New Roman"/>
                <w:b/>
                <w:sz w:val="20"/>
              </w:rPr>
              <w:t>− / +</w:t>
            </w:r>
          </w:p>
        </w:tc>
      </w:tr>
      <w:tr w:rsidR="00C03B1E" w14:paraId="476DD393" w14:textId="77777777">
        <w:trPr>
          <w:cantSplit/>
        </w:trPr>
        <w:tc>
          <w:tcPr>
            <w:tcW w:w="1656" w:type="dxa"/>
          </w:tcPr>
          <w:p w14:paraId="295D07BA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70FE205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602CA00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shaking</w:t>
            </w:r>
          </w:p>
        </w:tc>
        <w:tc>
          <w:tcPr>
            <w:tcW w:w="432" w:type="dxa"/>
          </w:tcPr>
          <w:p w14:paraId="2B03D2F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4CC1C7F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−0.106</w:t>
            </w:r>
          </w:p>
        </w:tc>
        <w:tc>
          <w:tcPr>
            <w:tcW w:w="2016" w:type="dxa"/>
          </w:tcPr>
          <w:p w14:paraId="412228D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−0.151 to −0.074</w:t>
            </w:r>
          </w:p>
        </w:tc>
        <w:tc>
          <w:tcPr>
            <w:tcW w:w="1224" w:type="dxa"/>
          </w:tcPr>
          <w:p w14:paraId="5685006A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336895BA" w14:textId="77777777">
        <w:trPr>
          <w:cantSplit/>
        </w:trPr>
        <w:tc>
          <w:tcPr>
            <w:tcW w:w="1656" w:type="dxa"/>
          </w:tcPr>
          <w:p w14:paraId="5B5A8BE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3BB65DD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5E3B903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before decay</w:t>
            </w:r>
          </w:p>
        </w:tc>
        <w:tc>
          <w:tcPr>
            <w:tcW w:w="432" w:type="dxa"/>
          </w:tcPr>
          <w:p w14:paraId="2E17AEC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5D97B46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−0.115</w:t>
            </w:r>
          </w:p>
        </w:tc>
        <w:tc>
          <w:tcPr>
            <w:tcW w:w="2016" w:type="dxa"/>
          </w:tcPr>
          <w:p w14:paraId="1FF06CD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−0.161 to −0.071</w:t>
            </w:r>
          </w:p>
        </w:tc>
        <w:tc>
          <w:tcPr>
            <w:tcW w:w="1224" w:type="dxa"/>
          </w:tcPr>
          <w:p w14:paraId="658B7DD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3913B9B8" w14:textId="77777777">
        <w:trPr>
          <w:cantSplit/>
        </w:trPr>
        <w:tc>
          <w:tcPr>
            <w:tcW w:w="1656" w:type="dxa"/>
          </w:tcPr>
          <w:p w14:paraId="4E44BF8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3E73CE3F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7BBC0F9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after decay</w:t>
            </w:r>
          </w:p>
        </w:tc>
        <w:tc>
          <w:tcPr>
            <w:tcW w:w="432" w:type="dxa"/>
          </w:tcPr>
          <w:p w14:paraId="78AE0ED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487CD807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−0.098</w:t>
            </w:r>
          </w:p>
        </w:tc>
        <w:tc>
          <w:tcPr>
            <w:tcW w:w="2016" w:type="dxa"/>
          </w:tcPr>
          <w:p w14:paraId="787850B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−0.154 to −0.066</w:t>
            </w:r>
          </w:p>
        </w:tc>
        <w:tc>
          <w:tcPr>
            <w:tcW w:w="1224" w:type="dxa"/>
          </w:tcPr>
          <w:p w14:paraId="3ABE7ED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4147BFEA" w14:textId="77777777">
        <w:trPr>
          <w:cantSplit/>
        </w:trPr>
        <w:tc>
          <w:tcPr>
            <w:tcW w:w="1656" w:type="dxa"/>
          </w:tcPr>
          <w:p w14:paraId="44C89E9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5F79AD8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5A03BCC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shaking</w:t>
            </w:r>
          </w:p>
        </w:tc>
        <w:tc>
          <w:tcPr>
            <w:tcW w:w="432" w:type="dxa"/>
          </w:tcPr>
          <w:p w14:paraId="5C6D43B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66CB397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−0.128</w:t>
            </w:r>
          </w:p>
        </w:tc>
        <w:tc>
          <w:tcPr>
            <w:tcW w:w="2016" w:type="dxa"/>
          </w:tcPr>
          <w:p w14:paraId="1D6770D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−0.207 to −0.071</w:t>
            </w:r>
          </w:p>
        </w:tc>
        <w:tc>
          <w:tcPr>
            <w:tcW w:w="1224" w:type="dxa"/>
          </w:tcPr>
          <w:p w14:paraId="24613C0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07751D32" w14:textId="77777777">
        <w:trPr>
          <w:cantSplit/>
        </w:trPr>
        <w:tc>
          <w:tcPr>
            <w:tcW w:w="1656" w:type="dxa"/>
          </w:tcPr>
          <w:p w14:paraId="789A4DC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52A66FA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5615777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before decay</w:t>
            </w:r>
          </w:p>
        </w:tc>
        <w:tc>
          <w:tcPr>
            <w:tcW w:w="432" w:type="dxa"/>
          </w:tcPr>
          <w:p w14:paraId="1093D88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12E5BE6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−0.146</w:t>
            </w:r>
          </w:p>
        </w:tc>
        <w:tc>
          <w:tcPr>
            <w:tcW w:w="2016" w:type="dxa"/>
          </w:tcPr>
          <w:p w14:paraId="12C5703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−0.194 to −0.108</w:t>
            </w:r>
          </w:p>
        </w:tc>
        <w:tc>
          <w:tcPr>
            <w:tcW w:w="1224" w:type="dxa"/>
          </w:tcPr>
          <w:p w14:paraId="3B6E09A7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2E4767A0" w14:textId="77777777">
        <w:trPr>
          <w:cantSplit/>
        </w:trPr>
        <w:tc>
          <w:tcPr>
            <w:tcW w:w="1656" w:type="dxa"/>
          </w:tcPr>
          <w:p w14:paraId="32EDAC4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SKS02→SKS03</w:t>
            </w:r>
          </w:p>
        </w:tc>
        <w:tc>
          <w:tcPr>
            <w:tcW w:w="1440" w:type="dxa"/>
          </w:tcPr>
          <w:p w14:paraId="62F6101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14D3C0A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after decay</w:t>
            </w:r>
          </w:p>
        </w:tc>
        <w:tc>
          <w:tcPr>
            <w:tcW w:w="432" w:type="dxa"/>
          </w:tcPr>
          <w:p w14:paraId="1A91D9E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686023B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−0.116</w:t>
            </w:r>
          </w:p>
        </w:tc>
        <w:tc>
          <w:tcPr>
            <w:tcW w:w="2016" w:type="dxa"/>
          </w:tcPr>
          <w:p w14:paraId="4B4800C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−0.172 to −0.089</w:t>
            </w:r>
          </w:p>
        </w:tc>
        <w:tc>
          <w:tcPr>
            <w:tcW w:w="1224" w:type="dxa"/>
          </w:tcPr>
          <w:p w14:paraId="2453649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6D7F0BBC" w14:textId="77777777">
        <w:trPr>
          <w:cantSplit/>
        </w:trPr>
        <w:tc>
          <w:tcPr>
            <w:tcW w:w="1656" w:type="dxa"/>
          </w:tcPr>
          <w:p w14:paraId="045F2C63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52367B7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0F2BC2E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shaking</w:t>
            </w:r>
          </w:p>
        </w:tc>
        <w:tc>
          <w:tcPr>
            <w:tcW w:w="432" w:type="dxa"/>
          </w:tcPr>
          <w:p w14:paraId="1CE1BC2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52" w:type="dxa"/>
          </w:tcPr>
          <w:p w14:paraId="1AFB73D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+0.023</w:t>
            </w:r>
          </w:p>
        </w:tc>
        <w:tc>
          <w:tcPr>
            <w:tcW w:w="2016" w:type="dxa"/>
          </w:tcPr>
          <w:p w14:paraId="3B97D2E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−0.044 to +0.057</w:t>
            </w:r>
          </w:p>
        </w:tc>
        <w:tc>
          <w:tcPr>
            <w:tcW w:w="1224" w:type="dxa"/>
          </w:tcPr>
          <w:p w14:paraId="4A81B81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2/4</w:t>
            </w:r>
          </w:p>
        </w:tc>
      </w:tr>
      <w:tr w:rsidR="00C03B1E" w14:paraId="525E92C0" w14:textId="77777777">
        <w:trPr>
          <w:cantSplit/>
        </w:trPr>
        <w:tc>
          <w:tcPr>
            <w:tcW w:w="1656" w:type="dxa"/>
          </w:tcPr>
          <w:p w14:paraId="3DF227E7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0DF1A57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0A65397F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before decay</w:t>
            </w:r>
          </w:p>
        </w:tc>
        <w:tc>
          <w:tcPr>
            <w:tcW w:w="432" w:type="dxa"/>
          </w:tcPr>
          <w:p w14:paraId="685B754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17AE40B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+0.008</w:t>
            </w:r>
          </w:p>
        </w:tc>
        <w:tc>
          <w:tcPr>
            <w:tcW w:w="2016" w:type="dxa"/>
          </w:tcPr>
          <w:p w14:paraId="12F4865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−0.044 to +0.057</w:t>
            </w:r>
          </w:p>
        </w:tc>
        <w:tc>
          <w:tcPr>
            <w:tcW w:w="1224" w:type="dxa"/>
          </w:tcPr>
          <w:p w14:paraId="49D3833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2/3</w:t>
            </w:r>
          </w:p>
        </w:tc>
      </w:tr>
      <w:tr w:rsidR="00C03B1E" w14:paraId="7B5B8B7C" w14:textId="77777777">
        <w:trPr>
          <w:cantSplit/>
        </w:trPr>
        <w:tc>
          <w:tcPr>
            <w:tcW w:w="1656" w:type="dxa"/>
          </w:tcPr>
          <w:p w14:paraId="1130B68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14D8212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Original</w:t>
            </w:r>
          </w:p>
        </w:tc>
        <w:tc>
          <w:tcPr>
            <w:tcW w:w="1440" w:type="dxa"/>
          </w:tcPr>
          <w:p w14:paraId="427CBE8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after decay</w:t>
            </w:r>
          </w:p>
        </w:tc>
        <w:tc>
          <w:tcPr>
            <w:tcW w:w="432" w:type="dxa"/>
          </w:tcPr>
          <w:p w14:paraId="46A5B6A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5E5C0ECF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+0.012</w:t>
            </w:r>
          </w:p>
        </w:tc>
        <w:tc>
          <w:tcPr>
            <w:tcW w:w="2016" w:type="dxa"/>
          </w:tcPr>
          <w:p w14:paraId="0CB1109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−0.042 to +0.045</w:t>
            </w:r>
          </w:p>
        </w:tc>
        <w:tc>
          <w:tcPr>
            <w:tcW w:w="1224" w:type="dxa"/>
          </w:tcPr>
          <w:p w14:paraId="7FD722B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2/3</w:t>
            </w:r>
          </w:p>
        </w:tc>
      </w:tr>
      <w:tr w:rsidR="00C03B1E" w14:paraId="4096EF8F" w14:textId="77777777">
        <w:trPr>
          <w:cantSplit/>
        </w:trPr>
        <w:tc>
          <w:tcPr>
            <w:tcW w:w="1656" w:type="dxa"/>
          </w:tcPr>
          <w:p w14:paraId="02031F7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4CDBD99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29379E9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shaking</w:t>
            </w:r>
          </w:p>
        </w:tc>
        <w:tc>
          <w:tcPr>
            <w:tcW w:w="432" w:type="dxa"/>
          </w:tcPr>
          <w:p w14:paraId="55CC2028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52" w:type="dxa"/>
          </w:tcPr>
          <w:p w14:paraId="12FA90CD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−0.013</w:t>
            </w:r>
          </w:p>
        </w:tc>
        <w:tc>
          <w:tcPr>
            <w:tcW w:w="2016" w:type="dxa"/>
          </w:tcPr>
          <w:p w14:paraId="3191BC06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−0.045 to −0.001</w:t>
            </w:r>
          </w:p>
        </w:tc>
        <w:tc>
          <w:tcPr>
            <w:tcW w:w="1224" w:type="dxa"/>
          </w:tcPr>
          <w:p w14:paraId="3EE70AD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6/0</w:t>
            </w:r>
          </w:p>
        </w:tc>
      </w:tr>
      <w:tr w:rsidR="00C03B1E" w14:paraId="771D7E3C" w14:textId="77777777">
        <w:trPr>
          <w:cantSplit/>
        </w:trPr>
        <w:tc>
          <w:tcPr>
            <w:tcW w:w="1656" w:type="dxa"/>
          </w:tcPr>
          <w:p w14:paraId="79710F8C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016E5C75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01DDABE1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before decay</w:t>
            </w:r>
          </w:p>
        </w:tc>
        <w:tc>
          <w:tcPr>
            <w:tcW w:w="432" w:type="dxa"/>
          </w:tcPr>
          <w:p w14:paraId="3017932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13744DC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−0.020</w:t>
            </w:r>
          </w:p>
        </w:tc>
        <w:tc>
          <w:tcPr>
            <w:tcW w:w="2016" w:type="dxa"/>
          </w:tcPr>
          <w:p w14:paraId="6FD80B30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−0.042 to −0.002</w:t>
            </w:r>
          </w:p>
        </w:tc>
        <w:tc>
          <w:tcPr>
            <w:tcW w:w="1224" w:type="dxa"/>
          </w:tcPr>
          <w:p w14:paraId="4E3234B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5/0</w:t>
            </w:r>
          </w:p>
        </w:tc>
      </w:tr>
      <w:tr w:rsidR="00C03B1E" w14:paraId="24306FE0" w14:textId="77777777">
        <w:trPr>
          <w:cantSplit/>
        </w:trPr>
        <w:tc>
          <w:tcPr>
            <w:tcW w:w="1656" w:type="dxa"/>
          </w:tcPr>
          <w:p w14:paraId="4180CC9E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SKS03→SKS02</w:t>
            </w:r>
          </w:p>
        </w:tc>
        <w:tc>
          <w:tcPr>
            <w:tcW w:w="1440" w:type="dxa"/>
          </w:tcPr>
          <w:p w14:paraId="053696F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Both ends</w:t>
            </w:r>
          </w:p>
        </w:tc>
        <w:tc>
          <w:tcPr>
            <w:tcW w:w="1440" w:type="dxa"/>
          </w:tcPr>
          <w:p w14:paraId="1A49C20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after decay</w:t>
            </w:r>
          </w:p>
        </w:tc>
        <w:tc>
          <w:tcPr>
            <w:tcW w:w="432" w:type="dxa"/>
          </w:tcPr>
          <w:p w14:paraId="1AA5EAB4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52" w:type="dxa"/>
          </w:tcPr>
          <w:p w14:paraId="6A29B289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−0.004</w:t>
            </w:r>
          </w:p>
        </w:tc>
        <w:tc>
          <w:tcPr>
            <w:tcW w:w="2016" w:type="dxa"/>
          </w:tcPr>
          <w:p w14:paraId="5CB325FB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−0.033 to +0.005</w:t>
            </w:r>
          </w:p>
        </w:tc>
        <w:tc>
          <w:tcPr>
            <w:tcW w:w="1224" w:type="dxa"/>
          </w:tcPr>
          <w:p w14:paraId="5FC503D2" w14:textId="77777777" w:rsidR="00C03B1E" w:rsidRDefault="00000000">
            <w:pPr>
              <w:spacing w:before="80" w:after="80" w:line="264" w:lineRule="auto"/>
            </w:pPr>
            <w:r>
              <w:rPr>
                <w:rFonts w:ascii="Times New Roman" w:hAnsi="Times New Roman"/>
                <w:sz w:val="20"/>
              </w:rPr>
              <w:t>3/2</w:t>
            </w:r>
          </w:p>
        </w:tc>
      </w:tr>
    </w:tbl>
    <w:p w14:paraId="71409D05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Source: Sinha et al. (2020a, b). Δ is candidate-minus-uniform phase p90 NRMSE after within-earthquake pile aggregation. Negative values favour the candidate. n counts earthquakes; −/+ counts strict event signs, not equivalence classes. Original and boundary-retained layouts were fixed before phase scoring. The small reverse after-decay median includes three lower-error and two higher-error events; it is not evidence of uniformly favourable transfer.</w:t>
      </w:r>
    </w:p>
    <w:p w14:paraId="56D4AEF1" w14:textId="77777777" w:rsidR="00C03B1E" w:rsidRDefault="00000000">
      <w:pPr>
        <w:keepNext/>
        <w:pageBreakBefore/>
      </w:pPr>
      <w:r>
        <w:rPr>
          <w:rFonts w:ascii="Times New Roman" w:hAnsi="Times New Roman"/>
          <w:b/>
          <w:sz w:val="20"/>
        </w:rPr>
        <w:lastRenderedPageBreak/>
        <w:t>Mirabello evidence qualification</w:t>
      </w:r>
    </w:p>
    <w:p w14:paraId="38484392" w14:textId="77777777" w:rsidR="00C03B1E" w:rsidRDefault="00000000" w:rsidP="00D43FEC">
      <w:pPr>
        <w:jc w:val="both"/>
      </w:pPr>
      <w:r>
        <w:rPr>
          <w:rFonts w:ascii="Times New Roman" w:hAnsi="Times New Roman"/>
          <w:sz w:val="20"/>
        </w:rPr>
        <w:t>Lusvardi (2020) reports a 17-m-long, 0.25-m-diameter bored, grouted micropile at Mirabello, Italy. The thesis identifies a post-blast acquisition interruption of approximately five minutes, a subsequent strain-baseline adjustment and drift-related exclusions. Strain-derived load is retained only above 6.2 m and for the first 15 min (printed pp. 148–149). The final deeper profile combines CAPWAP side resistance, an assumed toe load and a neutral plane estimated from settlement compatibility (pp. 154–155; Fig. 7-13). Those deeper estimates cannot be treated as independent measured axial-load observations.</w:t>
      </w:r>
    </w:p>
    <w:p w14:paraId="7C73AD05" w14:textId="41096100" w:rsidR="0006709B" w:rsidRDefault="00000000" w:rsidP="0006709B">
      <w:pPr>
        <w:jc w:val="both"/>
      </w:pPr>
      <w:r>
        <w:rPr>
          <w:rFonts w:ascii="Times New Roman" w:hAnsi="Times New Roman"/>
          <w:sz w:val="20"/>
        </w:rPr>
        <w:t>The downloaded thesis supplies neither a complete, uninterrupted, synchronised depth-wise axial-load time history nor an independently measured deeper profile for the stated transfer test. It is retained as source qualification and physical context, not added to the measured benchmark. A future dynamic field test requires quality-qualified simultaneous axial-load histories at sufficient depths, gauge geometry and calibration, input motion, pore-pressure records and acquisition/baseline metadata. A synthetic or CAPWAP-derived profile could test software under its assumptions, but could not close this experimental validation gap.</w:t>
      </w:r>
    </w:p>
    <w:p w14:paraId="3CB4FA93" w14:textId="09181894" w:rsidR="00C03B1E" w:rsidRDefault="00000000">
      <w:r>
        <w:rPr>
          <w:noProof/>
        </w:rPr>
        <w:drawing>
          <wp:inline distT="0" distB="0" distL="0" distR="0" wp14:anchorId="6959607E" wp14:editId="7F488E0E">
            <wp:extent cx="59436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rward_sequence_1200dp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53F8" w14:textId="77777777" w:rsidR="0006709B" w:rsidRPr="0006709B" w:rsidRDefault="0006709B" w:rsidP="0006709B">
      <w:pPr>
        <w:jc w:val="center"/>
        <w:rPr>
          <w:rFonts w:ascii="Times New Roman" w:hAnsi="Times New Roman" w:cs="Times New Roman"/>
          <w:sz w:val="20"/>
          <w:szCs w:val="20"/>
        </w:rPr>
      </w:pPr>
      <w:r w:rsidRPr="0006709B">
        <w:rPr>
          <w:rFonts w:ascii="Times New Roman" w:hAnsi="Times New Roman" w:cs="Times New Roman"/>
          <w:b/>
          <w:bCs/>
          <w:sz w:val="20"/>
          <w:szCs w:val="20"/>
        </w:rPr>
        <w:t>Fig. S1.</w:t>
      </w:r>
      <w:r w:rsidRPr="0006709B">
        <w:rPr>
          <w:rFonts w:ascii="Times New Roman" w:hAnsi="Times New Roman" w:cs="Times New Roman"/>
          <w:sz w:val="20"/>
          <w:szCs w:val="20"/>
        </w:rPr>
        <w:t xml:space="preserve"> Forward-sequence evaluation after selecting and freezing each layout from EQM1. Each point is the median across available piles within the later earthquake. Negative candidate-minus-uniform p90 NRMSE </w:t>
      </w:r>
      <w:proofErr w:type="spellStart"/>
      <w:r w:rsidRPr="0006709B">
        <w:rPr>
          <w:rFonts w:ascii="Times New Roman" w:hAnsi="Times New Roman" w:cs="Times New Roman"/>
          <w:sz w:val="20"/>
          <w:szCs w:val="20"/>
        </w:rPr>
        <w:t>favours</w:t>
      </w:r>
      <w:proofErr w:type="spellEnd"/>
      <w:r w:rsidRPr="0006709B">
        <w:rPr>
          <w:rFonts w:ascii="Times New Roman" w:hAnsi="Times New Roman" w:cs="Times New Roman"/>
          <w:sz w:val="20"/>
          <w:szCs w:val="20"/>
        </w:rPr>
        <w:t xml:space="preserve"> the frozen layout; the zero line denotes a tie. Source: Data from Sinha et al. (2020a, b).</w:t>
      </w:r>
    </w:p>
    <w:p w14:paraId="03844FC7" w14:textId="77777777" w:rsidR="0006709B" w:rsidRPr="0006709B" w:rsidRDefault="0006709B" w:rsidP="0006709B">
      <w:pPr>
        <w:jc w:val="center"/>
        <w:rPr>
          <w:rFonts w:ascii="Times New Roman" w:hAnsi="Times New Roman" w:cs="Times New Roman"/>
        </w:rPr>
      </w:pPr>
    </w:p>
    <w:p w14:paraId="6DB8C6E3" w14:textId="77777777" w:rsidR="00C03B1E" w:rsidRDefault="00000000">
      <w:r>
        <w:rPr>
          <w:noProof/>
        </w:rPr>
        <w:lastRenderedPageBreak/>
        <w:drawing>
          <wp:inline distT="0" distB="0" distL="0" distR="0" wp14:anchorId="017C050D" wp14:editId="0DDA7ED8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nsitivity_envelope_1200d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433" w14:textId="77777777" w:rsidR="0006709B" w:rsidRPr="0006709B" w:rsidRDefault="0006709B" w:rsidP="0006709B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 w:rsidRPr="0006709B">
        <w:rPr>
          <w:rFonts w:ascii="Times New Roman" w:hAnsi="Times New Roman" w:cs="Times New Roman"/>
          <w:b/>
          <w:sz w:val="20"/>
          <w:szCs w:val="20"/>
        </w:rPr>
        <w:t xml:space="preserve">Fig. S2. </w:t>
      </w:r>
      <w:r w:rsidRPr="0006709B">
        <w:rPr>
          <w:rFonts w:ascii="Times New Roman" w:hAnsi="Times New Roman" w:cs="Times New Roman"/>
          <w:sz w:val="20"/>
          <w:szCs w:val="20"/>
        </w:rPr>
        <w:t>Robustness envelopes across four smoothing choices and three NRMSE floors. Points denote the implemented nominal specification; vertical ranges show the minimum and maximum median paired change across all 12 specifications. These are specification envelopes, not confidence intervals. Source: Data from Sinha et al. (2020a, b).</w:t>
      </w:r>
    </w:p>
    <w:p w14:paraId="16D1CE93" w14:textId="77777777" w:rsidR="0006709B" w:rsidRDefault="0006709B"/>
    <w:p w14:paraId="3DFDB3EC" w14:textId="77777777" w:rsidR="00C03B1E" w:rsidRDefault="00000000">
      <w:r>
        <w:rPr>
          <w:noProof/>
        </w:rPr>
        <w:drawing>
          <wp:inline distT="0" distB="0" distL="0" distR="0" wp14:anchorId="1240E403" wp14:editId="5E780744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nvironment_coupling_1200d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CF4B" w14:textId="77777777" w:rsidR="0006709B" w:rsidRDefault="0006709B" w:rsidP="0006709B">
      <w:pPr>
        <w:keepNext/>
        <w:keepLines/>
        <w:pageBreakBefore/>
        <w:jc w:val="center"/>
      </w:pPr>
      <w:r w:rsidRPr="0006709B">
        <w:rPr>
          <w:rFonts w:ascii="Times New Roman" w:hAnsi="Times New Roman"/>
          <w:b/>
          <w:bCs/>
          <w:sz w:val="20"/>
        </w:rPr>
        <w:lastRenderedPageBreak/>
        <w:t>Fig. S3.</w:t>
      </w:r>
      <w:r>
        <w:rPr>
          <w:rFonts w:ascii="Times New Roman" w:hAnsi="Times New Roman"/>
          <w:sz w:val="20"/>
        </w:rPr>
        <w:t xml:space="preserve"> Co-located physical-regime descriptors and transfer error for the three-added-station comparison. Panels distinguish the centrifuge tests; labels identify earthquakes. Pore-pressure ratio describes the observed test envelope only. No regression significance or causal relation is claimed. Source: Data from Sinha et al. (2020a, b).</w:t>
      </w:r>
    </w:p>
    <w:p w14:paraId="6A3C0903" w14:textId="77777777" w:rsidR="0006709B" w:rsidRDefault="0006709B"/>
    <w:p w14:paraId="2B06B51E" w14:textId="77777777" w:rsidR="00C03B1E" w:rsidRDefault="00000000">
      <w:pPr>
        <w:spacing w:line="240" w:lineRule="auto"/>
      </w:pPr>
      <w:r>
        <w:rPr>
          <w:noProof/>
        </w:rPr>
        <w:drawing>
          <wp:inline distT="0" distB="0" distL="0" distR="0" wp14:anchorId="3DBB986D" wp14:editId="60D37226">
            <wp:extent cx="5943600" cy="3500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hase_transfer_1200d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D9AD" w14:textId="77777777" w:rsidR="0006709B" w:rsidRPr="0006709B" w:rsidRDefault="0006709B" w:rsidP="0006709B">
      <w:pPr>
        <w:pStyle w:val="NoSpacing"/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6709B">
        <w:rPr>
          <w:rFonts w:ascii="Times New Roman" w:hAnsi="Times New Roman" w:cs="Times New Roman"/>
          <w:b/>
          <w:sz w:val="20"/>
          <w:szCs w:val="20"/>
        </w:rPr>
        <w:t xml:space="preserve">Fig. S4. </w:t>
      </w:r>
      <w:r w:rsidRPr="0006709B">
        <w:rPr>
          <w:rFonts w:ascii="Times New Roman" w:hAnsi="Times New Roman" w:cs="Times New Roman"/>
          <w:sz w:val="20"/>
          <w:szCs w:val="20"/>
        </w:rPr>
        <w:t>Phase-specific transfer of frozen three-station layouts. Dots show paired earthquake-level differences in phase p90 profile NRMSE; black bars show their medians. Original and boundary-retained layouts share the equal-budget uniform comparator. The decay boundary is a sustained reduction below half the reference pressure-proxy peak, not complete dissipation. Five post-shaking events are available in each direction because SKS02 EQM1 has weak pressure response; shaking uses six SKS02 and five SKS03 events. The 120-snapshot, elapsed-time-smoothed setting is shown; full sensitivities and peak-response errors are provided as CSV files. Source: Sinha et al. (2020a, b).</w:t>
      </w:r>
    </w:p>
    <w:p w14:paraId="7D2BC40D" w14:textId="77777777" w:rsidR="0006709B" w:rsidRDefault="0006709B" w:rsidP="0006709B"/>
    <w:p w14:paraId="3B5F0EE0" w14:textId="77777777" w:rsidR="00C03B1E" w:rsidRDefault="00000000">
      <w:r>
        <w:rPr>
          <w:rFonts w:ascii="Times New Roman" w:hAnsi="Times New Roman"/>
          <w:b/>
          <w:sz w:val="20"/>
        </w:rPr>
        <w:t>References for supplementary material</w:t>
      </w:r>
    </w:p>
    <w:p w14:paraId="48CA6C16" w14:textId="77777777" w:rsidR="00C03B1E" w:rsidRDefault="00000000">
      <w:r>
        <w:rPr>
          <w:rFonts w:ascii="Times New Roman" w:hAnsi="Times New Roman"/>
          <w:sz w:val="20"/>
        </w:rPr>
        <w:t>Duffy, K., K. Gavin, M. Korff, and D. de Lange. 2024. “Base resistance of screw displacement piles in sand.” Journal of Geotechnical and Geoenvironmental Engineering 150 (8): 04024070. https://doi.org/10.1061/JGGEFK.GTENG-12340.</w:t>
      </w:r>
    </w:p>
    <w:p w14:paraId="18A15120" w14:textId="77777777" w:rsidR="00C03B1E" w:rsidRDefault="00000000">
      <w:r>
        <w:rPr>
          <w:rFonts w:ascii="Times New Roman" w:hAnsi="Times New Roman"/>
          <w:sz w:val="20"/>
        </w:rPr>
        <w:lastRenderedPageBreak/>
        <w:t>Duffy, K., K. G. Gavin, D. A. de Lange, and M. Korff. 2025. “Static load tests on screw injection piles with distributed fibre optic sensors in Delft.” Dataset. 4TU.ResearchData. https://doi.org/10.4121/78720ecb-daf4-4676-b5f4-281e93e4388a.</w:t>
      </w:r>
    </w:p>
    <w:p w14:paraId="7FB1F6E3" w14:textId="77777777" w:rsidR="00C03B1E" w:rsidRDefault="00000000">
      <w:r>
        <w:rPr>
          <w:rFonts w:ascii="Times New Roman" w:hAnsi="Times New Roman"/>
          <w:sz w:val="20"/>
        </w:rPr>
        <w:t>Lusvardi, C. M. 2020. “Blast-Induced Liquefaction and Downdrag Development on a Micropile Foundation.” M.S. thesis, Brigham Young University, Provo, UT. https://scholarsarchive.byu.edu/etd/8769/.</w:t>
      </w:r>
    </w:p>
    <w:sectPr w:rsidR="00C03B1E" w:rsidSect="00BA1411">
      <w:footerReference w:type="default" r:id="rId11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ABE8" w14:textId="77777777" w:rsidR="00CB4F5D" w:rsidRDefault="00CB4F5D">
      <w:pPr>
        <w:spacing w:line="240" w:lineRule="auto"/>
      </w:pPr>
      <w:r>
        <w:separator/>
      </w:r>
    </w:p>
  </w:endnote>
  <w:endnote w:type="continuationSeparator" w:id="0">
    <w:p w14:paraId="6824F346" w14:textId="77777777" w:rsidR="00CB4F5D" w:rsidRDefault="00CB4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BFA8" w14:textId="77777777" w:rsidR="00C03B1E" w:rsidRDefault="00000000">
    <w:pPr>
      <w:jc w:val="center"/>
    </w:pPr>
    <w:r>
      <w:t>S-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4B97" w14:textId="77777777" w:rsidR="00CB4F5D" w:rsidRDefault="00CB4F5D">
      <w:pPr>
        <w:spacing w:line="240" w:lineRule="auto"/>
      </w:pPr>
      <w:r>
        <w:separator/>
      </w:r>
    </w:p>
  </w:footnote>
  <w:footnote w:type="continuationSeparator" w:id="0">
    <w:p w14:paraId="6BBD5102" w14:textId="77777777" w:rsidR="00CB4F5D" w:rsidRDefault="00CB4F5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11"/>
    <w:rsid w:val="000430F8"/>
    <w:rsid w:val="0006504B"/>
    <w:rsid w:val="0006709B"/>
    <w:rsid w:val="0007115B"/>
    <w:rsid w:val="000B5589"/>
    <w:rsid w:val="000E3105"/>
    <w:rsid w:val="001376DF"/>
    <w:rsid w:val="001420FD"/>
    <w:rsid w:val="001A654E"/>
    <w:rsid w:val="002656D7"/>
    <w:rsid w:val="00272D73"/>
    <w:rsid w:val="00290E3A"/>
    <w:rsid w:val="0029211A"/>
    <w:rsid w:val="002D7E4A"/>
    <w:rsid w:val="003847DB"/>
    <w:rsid w:val="003B18F2"/>
    <w:rsid w:val="00486693"/>
    <w:rsid w:val="0051153D"/>
    <w:rsid w:val="005532D9"/>
    <w:rsid w:val="005C215F"/>
    <w:rsid w:val="005D32BE"/>
    <w:rsid w:val="005D6E31"/>
    <w:rsid w:val="005E0D90"/>
    <w:rsid w:val="005E7E03"/>
    <w:rsid w:val="005F1340"/>
    <w:rsid w:val="007467CC"/>
    <w:rsid w:val="00756310"/>
    <w:rsid w:val="007605B3"/>
    <w:rsid w:val="007779C2"/>
    <w:rsid w:val="007E5B8D"/>
    <w:rsid w:val="00842756"/>
    <w:rsid w:val="00856167"/>
    <w:rsid w:val="00873BA4"/>
    <w:rsid w:val="0089600B"/>
    <w:rsid w:val="00897AE4"/>
    <w:rsid w:val="008A4D1B"/>
    <w:rsid w:val="008D2375"/>
    <w:rsid w:val="008D78AE"/>
    <w:rsid w:val="008E4F9C"/>
    <w:rsid w:val="008E5153"/>
    <w:rsid w:val="008E7BE4"/>
    <w:rsid w:val="0091183F"/>
    <w:rsid w:val="00917152"/>
    <w:rsid w:val="00963DAB"/>
    <w:rsid w:val="009A241D"/>
    <w:rsid w:val="009A7383"/>
    <w:rsid w:val="009B0748"/>
    <w:rsid w:val="009E4626"/>
    <w:rsid w:val="00A23052"/>
    <w:rsid w:val="00A23A11"/>
    <w:rsid w:val="00A26452"/>
    <w:rsid w:val="00A5662D"/>
    <w:rsid w:val="00AC0BDD"/>
    <w:rsid w:val="00AF5B07"/>
    <w:rsid w:val="00B7324C"/>
    <w:rsid w:val="00B86751"/>
    <w:rsid w:val="00B871D1"/>
    <w:rsid w:val="00BA1411"/>
    <w:rsid w:val="00BA2A27"/>
    <w:rsid w:val="00BE24E1"/>
    <w:rsid w:val="00C03B1E"/>
    <w:rsid w:val="00C3077A"/>
    <w:rsid w:val="00C811BB"/>
    <w:rsid w:val="00C87EBB"/>
    <w:rsid w:val="00CB4F5D"/>
    <w:rsid w:val="00CD4B0C"/>
    <w:rsid w:val="00D20F20"/>
    <w:rsid w:val="00D43FEC"/>
    <w:rsid w:val="00D56B73"/>
    <w:rsid w:val="00D720C2"/>
    <w:rsid w:val="00DD5BDF"/>
    <w:rsid w:val="00DE5E92"/>
    <w:rsid w:val="00DF4162"/>
    <w:rsid w:val="00E01177"/>
    <w:rsid w:val="00E22FF6"/>
    <w:rsid w:val="00E56718"/>
    <w:rsid w:val="00E75B10"/>
    <w:rsid w:val="00EC1AFD"/>
    <w:rsid w:val="00F42312"/>
    <w:rsid w:val="00F46EB6"/>
    <w:rsid w:val="00F62198"/>
    <w:rsid w:val="00F62516"/>
    <w:rsid w:val="00F62FB1"/>
    <w:rsid w:val="00F77BE3"/>
    <w:rsid w:val="00F82F6D"/>
    <w:rsid w:val="00FE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EEC1B"/>
  <w15:chartTrackingRefBased/>
  <w15:docId w15:val="{9A56C8A9-C23C-4BB9-9470-C99B23B9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</w:pPr>
    <w:rPr>
      <w:rFonts w:ascii="Calibri" w:hAnsi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A1411"/>
  </w:style>
  <w:style w:type="character" w:styleId="Hyperlink">
    <w:name w:val="Hyperlink"/>
    <w:basedOn w:val="DefaultParagraphFont"/>
    <w:uiPriority w:val="99"/>
    <w:unhideWhenUsed/>
    <w:rsid w:val="00C30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7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5BD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5E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E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5E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E92"/>
    <w:rPr>
      <w:b/>
      <w:bCs/>
      <w:sz w:val="20"/>
      <w:szCs w:val="20"/>
    </w:rPr>
  </w:style>
  <w:style w:type="paragraph" w:customStyle="1" w:styleId="Default">
    <w:name w:val="Default"/>
    <w:rsid w:val="00C87E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134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E5153"/>
    <w:pPr>
      <w:spacing w:after="0" w:line="240" w:lineRule="auto"/>
    </w:pPr>
  </w:style>
  <w:style w:type="paragraph" w:styleId="NoSpacing">
    <w:name w:val="No Spacing"/>
    <w:uiPriority w:val="1"/>
    <w:qFormat/>
    <w:rsid w:val="00EC1AFD"/>
    <w:pPr>
      <w:spacing w:after="0" w:line="240" w:lineRule="auto"/>
    </w:pPr>
    <w:rPr>
      <w:rFonts w:ascii="Calibri" w:hAnsi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7DBA7-5696-4738-9A90-468369576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2719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Target-Response-Blind Portability Audit of Sparse Axial-Load Monitoring Layouts for Piles under Liquefaction-Induced Downdrag</dc:title>
  <dc:subject>Cross-regime and cross-scale portability of sparse axial-load monitoring layouts</dc:subject>
  <dc:creator>Amrendra Bharti;Shiva Shankar Choudhary</dc:creator>
  <cp:keywords>pile foundations; liquefaction-induced downdrag; sensor placement; portability; open data</cp:keywords>
  <dc:description/>
  <cp:lastModifiedBy>AMRENDRA BHARTI</cp:lastModifiedBy>
  <cp:revision>3</cp:revision>
  <dcterms:created xsi:type="dcterms:W3CDTF">2026-08-29T10:23:00Z</dcterms:created>
  <dcterms:modified xsi:type="dcterms:W3CDTF">2026-08-31T06:30:00Z</dcterms:modified>
</cp:coreProperties>
</file>