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BC20B" w14:textId="77777777" w:rsidR="00C03B1E" w:rsidRDefault="00000000" w:rsidP="00D43FEC">
      <w:pPr>
        <w:jc w:val="center"/>
      </w:pPr>
      <w:r>
        <w:rPr>
          <w:rFonts w:ascii="Times New Roman" w:hAnsi="Times New Roman"/>
          <w:b/>
          <w:sz w:val="20"/>
        </w:rPr>
        <w:t>SUPPLEMENTAL MATERIALS</w:t>
      </w:r>
    </w:p>
    <w:p w14:paraId="4C1007EC" w14:textId="77777777" w:rsidR="00C03B1E" w:rsidRDefault="00000000" w:rsidP="00D43FEC">
      <w:pPr>
        <w:jc w:val="center"/>
      </w:pPr>
      <w:r>
        <w:rPr>
          <w:rFonts w:ascii="Times New Roman" w:hAnsi="Times New Roman"/>
          <w:b/>
          <w:sz w:val="20"/>
        </w:rPr>
        <w:t>TARGET-RESPONSE-BLIND PORTABILITY AUDIT OF SPARSE AXIAL-LOAD MONITORING LAYOUTS FOR PILES UNDER LIQUEFACTION-INDUCED DOWNDRAG</w:t>
      </w:r>
    </w:p>
    <w:p w14:paraId="1E0CC01A" w14:textId="77777777" w:rsidR="00C03B1E" w:rsidRDefault="00000000" w:rsidP="00D43FEC">
      <w:pPr>
        <w:jc w:val="both"/>
      </w:pPr>
      <w:r>
        <w:rPr>
          <w:rFonts w:ascii="Times New Roman" w:hAnsi="Times New Roman"/>
          <w:sz w:val="20"/>
        </w:rPr>
        <w:t>Complete notation, secondary checks and supporting result tables. The main manuscript defines the primary claims; these materials retain all secondary evidence and assumptions.</w:t>
      </w:r>
    </w:p>
    <w:p w14:paraId="6A327757" w14:textId="77777777" w:rsidR="00C03B1E" w:rsidRDefault="00000000">
      <w:r>
        <w:rPr>
          <w:rFonts w:ascii="Times New Roman" w:hAnsi="Times New Roman"/>
          <w:b/>
          <w:sz w:val="20"/>
        </w:rPr>
        <w:t>Notation</w:t>
      </w:r>
    </w:p>
    <w:p w14:paraId="2D1932E7" w14:textId="77777777" w:rsidR="00C03B1E" w:rsidRDefault="00000000">
      <w:r>
        <w:rPr>
          <w:rFonts w:ascii="Times New Roman" w:hAnsi="Times New Roman"/>
          <w:sz w:val="20"/>
        </w:rPr>
        <w:t>The following symbols are used in the main text and these materials:</w:t>
      </w:r>
    </w:p>
    <w:tbl>
      <w:tblPr>
        <w:tblW w:w="9360" w:type="dxa"/>
        <w:jc w:val="center"/>
        <w:tblBorders>
          <w:top w:val="single" w:sz="6" w:space="0" w:color="auto"/>
          <w:left w:val="nil"/>
          <w:bottom w:val="single" w:sz="6" w:space="0" w:color="auto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128"/>
      </w:tblGrid>
      <w:tr w:rsidR="00DF4162" w:rsidRPr="009A7383" w14:paraId="4BCB6B2E" w14:textId="77777777">
        <w:trPr>
          <w:cantSplit/>
          <w:tblHeader/>
          <w:jc w:val="center"/>
        </w:trPr>
        <w:tc>
          <w:tcPr>
            <w:tcW w:w="2232" w:type="dxa"/>
            <w:tcBorders>
              <w:bottom w:val="single" w:sz="6" w:space="0" w:color="auto"/>
            </w:tcBorders>
            <w:vAlign w:val="center"/>
          </w:tcPr>
          <w:p w14:paraId="3AC289C8" w14:textId="77777777" w:rsidR="00DF4162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Symbol</w:t>
            </w:r>
          </w:p>
        </w:tc>
        <w:tc>
          <w:tcPr>
            <w:tcW w:w="7128" w:type="dxa"/>
            <w:tcBorders>
              <w:bottom w:val="single" w:sz="6" w:space="0" w:color="auto"/>
            </w:tcBorders>
            <w:vAlign w:val="center"/>
          </w:tcPr>
          <w:p w14:paraId="542C8A88" w14:textId="77777777" w:rsidR="00C03B1E" w:rsidRDefault="00000000">
            <w:r>
              <w:rPr>
                <w:rFonts w:ascii="Times New Roman" w:hAnsi="Times New Roman"/>
                <w:b/>
                <w:sz w:val="20"/>
              </w:rPr>
              <w:t>Definition</w:t>
            </w:r>
          </w:p>
        </w:tc>
      </w:tr>
      <w:tr w:rsidR="00DF4162" w:rsidRPr="009A7383" w14:paraId="665E8B8B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55DBB381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CI</w:t>
            </w:r>
            <w:r>
              <w:rPr>
                <w:rFonts w:ascii="Times New Roman" w:hAnsi="Times New Roman"/>
                <w:sz w:val="20"/>
                <w:vertAlign w:val="subscript"/>
              </w:rPr>
              <w:t>0</w:t>
            </w:r>
            <w:r>
              <w:rPr>
                <w:rFonts w:ascii="Times New Roman" w:hAnsi="Times New Roman"/>
                <w:sz w:val="20"/>
              </w:rPr>
              <w:t>.</w:t>
            </w:r>
            <w:r>
              <w:rPr>
                <w:rFonts w:ascii="Times New Roman" w:hAnsi="Times New Roman"/>
                <w:sz w:val="20"/>
                <w:vertAlign w:val="subscript"/>
              </w:rPr>
              <w:t>95</w:t>
            </w:r>
          </w:p>
        </w:tc>
        <w:tc>
          <w:tcPr>
            <w:tcW w:w="7128" w:type="dxa"/>
            <w:vAlign w:val="center"/>
          </w:tcPr>
          <w:p w14:paraId="68823600" w14:textId="77777777" w:rsidR="00C03B1E" w:rsidRDefault="00000000">
            <w:r>
              <w:rPr>
                <w:rFonts w:ascii="Times New Roman" w:hAnsi="Times New Roman"/>
                <w:sz w:val="20"/>
              </w:rPr>
              <w:t>descriptive 95% earthquake-cluster bootstrap interval;</w:t>
            </w:r>
          </w:p>
        </w:tc>
      </w:tr>
      <w:tr w:rsidR="00DF4162" w:rsidRPr="009A7383" w14:paraId="6140F020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541C42C4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C</w:t>
            </w:r>
            <w:r>
              <w:rPr>
                <w:rFonts w:ascii="Times New Roman" w:hAnsi="Times New Roman"/>
                <w:sz w:val="20"/>
                <w:vertAlign w:val="subscript"/>
              </w:rPr>
              <w:t>b</w:t>
            </w:r>
          </w:p>
        </w:tc>
        <w:tc>
          <w:tcPr>
            <w:tcW w:w="7128" w:type="dxa"/>
            <w:vAlign w:val="center"/>
          </w:tcPr>
          <w:p w14:paraId="5B3A28ED" w14:textId="77777777" w:rsidR="00C03B1E" w:rsidRDefault="00000000">
            <w:r>
              <w:rPr>
                <w:rFonts w:ascii="Times New Roman" w:hAnsi="Times New Roman"/>
                <w:sz w:val="20"/>
              </w:rPr>
              <w:t>complete set of admissible layouts for budget b;</w:t>
            </w:r>
          </w:p>
        </w:tc>
      </w:tr>
      <w:tr w:rsidR="00DF4162" w:rsidRPr="009A7383" w14:paraId="756FD4DC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1348E846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w="7128" w:type="dxa"/>
            <w:vAlign w:val="center"/>
          </w:tcPr>
          <w:p w14:paraId="6F038770" w14:textId="77777777" w:rsidR="00C03B1E" w:rsidRDefault="00000000">
            <w:r>
              <w:rPr>
                <w:rFonts w:ascii="Times New Roman" w:hAnsi="Times New Roman"/>
                <w:sz w:val="20"/>
              </w:rPr>
              <w:t>candidate set of measured station locations;</w:t>
            </w:r>
          </w:p>
        </w:tc>
      </w:tr>
      <w:tr w:rsidR="00DF4162" w:rsidRPr="009A7383" w14:paraId="7EB5718E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5E4601D1" w14:textId="77777777" w:rsidR="000430F8" w:rsidRPr="00D43FEC" w:rsidRDefault="00000000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</w:rPr>
                      <m:t>S,b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</w:rPr>
                      <m:t>*</m:t>
                    </m:r>
                  </m:sup>
                </m:sSubSup>
              </m:oMath>
            </m:oMathPara>
          </w:p>
        </w:tc>
        <w:tc>
          <w:tcPr>
            <w:tcW w:w="7128" w:type="dxa"/>
            <w:vAlign w:val="center"/>
          </w:tcPr>
          <w:p w14:paraId="3EC09F8B" w14:textId="77777777" w:rsidR="00C03B1E" w:rsidRDefault="00000000">
            <w:r>
              <w:rPr>
                <w:rFonts w:ascii="Times New Roman" w:hAnsi="Times New Roman"/>
                <w:sz w:val="20"/>
              </w:rPr>
              <w:t>layout selected on source test S for budget b;</w:t>
            </w:r>
          </w:p>
        </w:tc>
      </w:tr>
      <w:tr w:rsidR="00DF4162" w:rsidRPr="009A7383" w14:paraId="0C0D72C3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11D26187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E</w:t>
            </w:r>
            <w:r>
              <w:rPr>
                <w:rFonts w:ascii="Times New Roman" w:hAnsi="Times New Roman"/>
                <w:sz w:val="20"/>
                <w:vertAlign w:val="subscript"/>
              </w:rPr>
              <w:t>pe</w:t>
            </w:r>
            <w:r>
              <w:rPr>
                <w:rFonts w:ascii="Times New Roman" w:hAnsi="Times New Roman"/>
                <w:sz w:val="20"/>
              </w:rPr>
              <w:t>(D)</w:t>
            </w:r>
          </w:p>
        </w:tc>
        <w:tc>
          <w:tcPr>
            <w:tcW w:w="7128" w:type="dxa"/>
            <w:vAlign w:val="center"/>
          </w:tcPr>
          <w:p w14:paraId="4EF44525" w14:textId="77777777" w:rsidR="00C03B1E" w:rsidRDefault="00000000">
            <w:r>
              <w:rPr>
                <w:rFonts w:ascii="Times New Roman" w:hAnsi="Times New Roman"/>
                <w:sz w:val="20"/>
              </w:rPr>
              <w:t>pile–event 90th-percentile NRMSE for layout D;</w:t>
            </w:r>
          </w:p>
        </w:tc>
      </w:tr>
      <w:tr w:rsidR="00DF4162" w:rsidRPr="009A7383" w14:paraId="592E11A0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7AF85FE7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G</w:t>
            </w:r>
          </w:p>
        </w:tc>
        <w:tc>
          <w:tcPr>
            <w:tcW w:w="7128" w:type="dxa"/>
            <w:vAlign w:val="center"/>
          </w:tcPr>
          <w:p w14:paraId="2584228C" w14:textId="77777777" w:rsidR="00C03B1E" w:rsidRDefault="00000000">
            <w:r>
              <w:rPr>
                <w:rFonts w:ascii="Times New Roman" w:hAnsi="Times New Roman"/>
                <w:sz w:val="20"/>
              </w:rPr>
              <w:t>set of common measured gauge levels;</w:t>
            </w:r>
          </w:p>
        </w:tc>
      </w:tr>
      <w:tr w:rsidR="00DF4162" w:rsidRPr="009A7383" w14:paraId="0A6F6E6D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57670CE0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I[·]</w:t>
            </w:r>
          </w:p>
        </w:tc>
        <w:tc>
          <w:tcPr>
            <w:tcW w:w="7128" w:type="dxa"/>
            <w:vAlign w:val="center"/>
          </w:tcPr>
          <w:p w14:paraId="2765E0D7" w14:textId="77777777" w:rsidR="00C03B1E" w:rsidRDefault="00000000">
            <w:r>
              <w:rPr>
                <w:rFonts w:ascii="Times New Roman" w:hAnsi="Times New Roman"/>
                <w:sz w:val="20"/>
              </w:rPr>
              <w:t>indicator function;</w:t>
            </w:r>
          </w:p>
        </w:tc>
      </w:tr>
      <w:tr w:rsidR="00DF4162" w:rsidRPr="009A7383" w14:paraId="42D2CBF2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6FEC08A9" w14:textId="77777777" w:rsidR="000430F8" w:rsidRPr="00D43FEC" w:rsidRDefault="00000000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sz w:val="20"/>
                  </w:rPr>
                  <m:t>(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</w:rPr>
                      <m:t>S,b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</w:rPr>
                      <m:t>*</m:t>
                    </m:r>
                  </m:sup>
                </m:sSubSup>
                <m:r>
                  <w:rPr>
                    <w:rFonts w:ascii="Cambria Math" w:hAnsi="Cambria Math"/>
                    <w:sz w:val="20"/>
                  </w:rPr>
                  <m:t>)</m:t>
                </m:r>
              </m:oMath>
            </m:oMathPara>
          </w:p>
        </w:tc>
        <w:tc>
          <w:tcPr>
            <w:tcW w:w="7128" w:type="dxa"/>
            <w:vAlign w:val="center"/>
          </w:tcPr>
          <w:p w14:paraId="4D153D05" w14:textId="77777777" w:rsidR="00C03B1E" w:rsidRDefault="00000000">
            <w:r>
              <w:rPr>
                <w:rFonts w:ascii="Times New Roman" w:hAnsi="Times New Roman"/>
                <w:sz w:val="20"/>
              </w:rPr>
              <w:t>fraction of admissible target layouts outperformed by the frozen source-selected layout;</w:t>
            </w:r>
          </w:p>
        </w:tc>
      </w:tr>
      <w:tr w:rsidR="00DF4162" w:rsidRPr="009A7383" w14:paraId="35CD2206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2BE6E8AB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Q</w:t>
            </w:r>
            <w:r>
              <w:rPr>
                <w:rFonts w:ascii="Times New Roman" w:hAnsi="Times New Roman"/>
                <w:sz w:val="20"/>
                <w:vertAlign w:val="subscript"/>
              </w:rPr>
              <w:t>pet</w:t>
            </w:r>
            <w:r>
              <w:rPr>
                <w:rFonts w:ascii="Times New Roman" w:hAnsi="Times New Roman"/>
                <w:sz w:val="20"/>
              </w:rPr>
              <w:t>(z</w:t>
            </w:r>
            <w:r>
              <w:rPr>
                <w:rFonts w:ascii="Times New Roman" w:hAnsi="Times New Roman"/>
                <w:sz w:val="20"/>
                <w:vertAlign w:val="subscript"/>
              </w:rPr>
              <w:t>i</w:t>
            </w:r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w="7128" w:type="dxa"/>
            <w:vAlign w:val="center"/>
          </w:tcPr>
          <w:p w14:paraId="5478B539" w14:textId="77777777" w:rsidR="00C03B1E" w:rsidRDefault="00000000">
            <w:r>
              <w:rPr>
                <w:rFonts w:ascii="Times New Roman" w:hAnsi="Times New Roman"/>
                <w:sz w:val="20"/>
              </w:rPr>
              <w:t>measured axial load at normalised depth z</w:t>
            </w:r>
            <w:r>
              <w:rPr>
                <w:rFonts w:ascii="Times New Roman" w:hAnsi="Times New Roman"/>
                <w:sz w:val="20"/>
                <w:vertAlign w:val="subscript"/>
              </w:rPr>
              <w:t>i</w:t>
            </w:r>
            <w:r>
              <w:rPr>
                <w:rFonts w:ascii="Times New Roman" w:hAnsi="Times New Roman"/>
                <w:sz w:val="20"/>
              </w:rPr>
              <w:t>;</w:t>
            </w:r>
          </w:p>
        </w:tc>
      </w:tr>
      <w:tr w:rsidR="00DF4162" w:rsidRPr="009A7383" w14:paraId="0FE59DCF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199F239D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Q̂</w:t>
            </w:r>
            <w:r>
              <w:rPr>
                <w:rFonts w:ascii="Times New Roman" w:hAnsi="Times New Roman"/>
                <w:sz w:val="20"/>
                <w:vertAlign w:val="subscript"/>
              </w:rPr>
              <w:t>pet</w:t>
            </w:r>
            <w:r>
              <w:rPr>
                <w:rFonts w:ascii="Times New Roman" w:hAnsi="Times New Roman"/>
                <w:sz w:val="20"/>
              </w:rPr>
              <w:t>(z</w:t>
            </w:r>
            <w:r>
              <w:rPr>
                <w:rFonts w:ascii="Times New Roman" w:hAnsi="Times New Roman"/>
                <w:sz w:val="20"/>
                <w:vertAlign w:val="subscript"/>
              </w:rPr>
              <w:t>i</w:t>
            </w:r>
            <w:r>
              <w:rPr>
                <w:rFonts w:ascii="Times New Roman" w:hAnsi="Times New Roman"/>
                <w:sz w:val="20"/>
              </w:rPr>
              <w:t>|D)</w:t>
            </w:r>
          </w:p>
        </w:tc>
        <w:tc>
          <w:tcPr>
            <w:tcW w:w="7128" w:type="dxa"/>
            <w:vAlign w:val="center"/>
          </w:tcPr>
          <w:p w14:paraId="0925F2F0" w14:textId="77777777" w:rsidR="00C03B1E" w:rsidRDefault="00000000">
            <w:r>
              <w:rPr>
                <w:rFonts w:ascii="Times New Roman" w:hAnsi="Times New Roman"/>
                <w:sz w:val="20"/>
              </w:rPr>
              <w:t>axial load reconstructed from layout D;</w:t>
            </w:r>
          </w:p>
        </w:tc>
      </w:tr>
      <w:tr w:rsidR="00DF4162" w:rsidRPr="009A7383" w14:paraId="144A2BBC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76E3BFA6" w14:textId="77777777" w:rsidR="000430F8" w:rsidRPr="00D43FEC" w:rsidRDefault="00000000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</w:rPr>
                      <m:t>pet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</w:rPr>
                      <m:t>max</m:t>
                    </m:r>
                  </m:sup>
                </m:sSubSup>
              </m:oMath>
            </m:oMathPara>
          </w:p>
        </w:tc>
        <w:tc>
          <w:tcPr>
            <w:tcW w:w="7128" w:type="dxa"/>
            <w:vAlign w:val="center"/>
          </w:tcPr>
          <w:p w14:paraId="1A3C3F04" w14:textId="77777777" w:rsidR="00C03B1E" w:rsidRDefault="00000000">
            <w:r>
              <w:rPr>
                <w:rFonts w:ascii="Times New Roman" w:hAnsi="Times New Roman"/>
                <w:sz w:val="20"/>
              </w:rPr>
              <w:t>maximum measured axial load at sampled time t;</w:t>
            </w:r>
          </w:p>
        </w:tc>
      </w:tr>
      <w:tr w:rsidR="00DF4162" w:rsidRPr="009A7383" w14:paraId="218A8FF9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7C7C965F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Q</w:t>
            </w:r>
            <w:r>
              <w:rPr>
                <w:rFonts w:ascii="Times New Roman" w:hAnsi="Times New Roman"/>
                <w:sz w:val="20"/>
                <w:vertAlign w:val="superscript"/>
              </w:rPr>
              <w:t>(f)</w:t>
            </w:r>
            <w:r>
              <w:rPr>
                <w:rFonts w:ascii="Times New Roman" w:hAnsi="Times New Roman"/>
                <w:sz w:val="20"/>
              </w:rPr>
              <w:t>(z</w:t>
            </w:r>
            <w:r>
              <w:rPr>
                <w:rFonts w:ascii="Times New Roman" w:hAnsi="Times New Roman"/>
                <w:sz w:val="20"/>
                <w:vertAlign w:val="subscript"/>
              </w:rPr>
              <w:t>i</w:t>
            </w:r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w="7128" w:type="dxa"/>
            <w:vAlign w:val="center"/>
          </w:tcPr>
          <w:p w14:paraId="52A1BADD" w14:textId="77777777" w:rsidR="00C03B1E" w:rsidRDefault="00000000">
            <w:r>
              <w:rPr>
                <w:rFonts w:ascii="Times New Roman" w:hAnsi="Times New Roman"/>
                <w:sz w:val="20"/>
              </w:rPr>
              <w:t>published or digitally interpreted axial load at level i in independent profile f;</w:t>
            </w:r>
          </w:p>
        </w:tc>
      </w:tr>
      <w:tr w:rsidR="00DF4162" w:rsidRPr="009A7383" w14:paraId="136B5E0B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5BC1F535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w="7128" w:type="dxa"/>
            <w:vAlign w:val="center"/>
          </w:tcPr>
          <w:p w14:paraId="3AE8E379" w14:textId="77777777" w:rsidR="00C03B1E" w:rsidRDefault="00000000">
            <w:r>
              <w:rPr>
                <w:rFonts w:ascii="Times New Roman" w:hAnsi="Times New Roman"/>
                <w:sz w:val="20"/>
              </w:rPr>
              <w:t>source physical test;</w:t>
            </w:r>
          </w:p>
        </w:tc>
      </w:tr>
      <w:tr w:rsidR="00DF4162" w:rsidRPr="009A7383" w14:paraId="4587116B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1903919B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T</w:t>
            </w:r>
            <w:r>
              <w:rPr>
                <w:rFonts w:ascii="Times New Roman" w:hAnsi="Times New Roman"/>
                <w:sz w:val="20"/>
                <w:vertAlign w:val="subscript"/>
              </w:rPr>
              <w:t>pe</w:t>
            </w:r>
          </w:p>
        </w:tc>
        <w:tc>
          <w:tcPr>
            <w:tcW w:w="7128" w:type="dxa"/>
            <w:vAlign w:val="center"/>
          </w:tcPr>
          <w:p w14:paraId="38F5B755" w14:textId="77777777" w:rsidR="00C03B1E" w:rsidRDefault="00000000">
            <w:r>
              <w:rPr>
                <w:rFonts w:ascii="Times New Roman" w:hAnsi="Times New Roman"/>
                <w:sz w:val="20"/>
              </w:rPr>
              <w:t>deterministically sampled times for a pile–event history;</w:t>
            </w:r>
          </w:p>
        </w:tc>
      </w:tr>
      <w:tr w:rsidR="00DF4162" w:rsidRPr="009A7383" w14:paraId="651F1362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69B41208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U</w:t>
            </w:r>
            <w:r>
              <w:rPr>
                <w:rFonts w:ascii="Times New Roman" w:hAnsi="Times New Roman"/>
                <w:sz w:val="20"/>
                <w:vertAlign w:val="subscript"/>
              </w:rPr>
              <w:t>b</w:t>
            </w:r>
          </w:p>
        </w:tc>
        <w:tc>
          <w:tcPr>
            <w:tcW w:w="7128" w:type="dxa"/>
            <w:vAlign w:val="center"/>
          </w:tcPr>
          <w:p w14:paraId="3C24A6C8" w14:textId="77777777" w:rsidR="00C03B1E" w:rsidRDefault="00000000">
            <w:r>
              <w:rPr>
                <w:rFonts w:ascii="Times New Roman" w:hAnsi="Times New Roman"/>
                <w:sz w:val="20"/>
              </w:rPr>
              <w:t>uniform discrete comparator for budget b;</w:t>
            </w:r>
          </w:p>
        </w:tc>
      </w:tr>
      <w:tr w:rsidR="00DF4162" w:rsidRPr="009A7383" w14:paraId="1CAE42C0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74377070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w="7128" w:type="dxa"/>
            <w:vAlign w:val="center"/>
          </w:tcPr>
          <w:p w14:paraId="0DE170BA" w14:textId="77777777" w:rsidR="00C03B1E" w:rsidRDefault="00000000">
            <w:r>
              <w:rPr>
                <w:rFonts w:ascii="Times New Roman" w:hAnsi="Times New Roman"/>
                <w:sz w:val="20"/>
              </w:rPr>
              <w:t>number of additional stations beyond the fixed upper boundary;</w:t>
            </w:r>
          </w:p>
        </w:tc>
      </w:tr>
      <w:tr w:rsidR="00DF4162" w:rsidRPr="009A7383" w14:paraId="4FA8AA06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6443758C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e</w:t>
            </w:r>
          </w:p>
        </w:tc>
        <w:tc>
          <w:tcPr>
            <w:tcW w:w="7128" w:type="dxa"/>
            <w:vAlign w:val="center"/>
          </w:tcPr>
          <w:p w14:paraId="0B0165BD" w14:textId="77777777" w:rsidR="00C03B1E" w:rsidRDefault="00000000">
            <w:r>
              <w:rPr>
                <w:rFonts w:ascii="Times New Roman" w:hAnsi="Times New Roman"/>
                <w:sz w:val="20"/>
              </w:rPr>
              <w:t>earthquake-event index;</w:t>
            </w:r>
          </w:p>
        </w:tc>
      </w:tr>
      <w:tr w:rsidR="00DF4162" w:rsidRPr="009A7383" w14:paraId="083A53CE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148F8206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f</w:t>
            </w:r>
          </w:p>
        </w:tc>
        <w:tc>
          <w:tcPr>
            <w:tcW w:w="7128" w:type="dxa"/>
            <w:vAlign w:val="center"/>
          </w:tcPr>
          <w:p w14:paraId="607BCB7D" w14:textId="77777777" w:rsidR="00C03B1E" w:rsidRDefault="00000000">
            <w:r>
              <w:rPr>
                <w:rFonts w:ascii="Times New Roman" w:hAnsi="Times New Roman"/>
                <w:sz w:val="20"/>
              </w:rPr>
              <w:t>index of an external axial-load reference profile;</w:t>
            </w:r>
          </w:p>
        </w:tc>
      </w:tr>
      <w:tr w:rsidR="00DF4162" w:rsidRPr="009A7383" w14:paraId="6E18FFA2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40ADADB3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i, j, k</w:t>
            </w:r>
          </w:p>
        </w:tc>
        <w:tc>
          <w:tcPr>
            <w:tcW w:w="7128" w:type="dxa"/>
            <w:vAlign w:val="center"/>
          </w:tcPr>
          <w:p w14:paraId="61ED77C7" w14:textId="77777777" w:rsidR="00C03B1E" w:rsidRDefault="00000000">
            <w:r>
              <w:rPr>
                <w:rFonts w:ascii="Times New Roman" w:hAnsi="Times New Roman"/>
                <w:sz w:val="20"/>
              </w:rPr>
              <w:t>measured-level indices;</w:t>
            </w:r>
          </w:p>
        </w:tc>
      </w:tr>
      <w:tr w:rsidR="00DF4162" w:rsidRPr="009A7383" w14:paraId="40BFA171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5013CABC" w14:textId="77777777" w:rsidR="000430F8" w:rsidRPr="00D43FEC" w:rsidRDefault="00000000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</w:rPr>
                      <m:t>pet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</w:rPr>
                      <m:t>⋆</m:t>
                    </m:r>
                  </m:sup>
                </m:sSubSup>
              </m:oMath>
            </m:oMathPara>
          </w:p>
        </w:tc>
        <w:tc>
          <w:tcPr>
            <w:tcW w:w="7128" w:type="dxa"/>
            <w:vAlign w:val="center"/>
          </w:tcPr>
          <w:p w14:paraId="225562E5" w14:textId="77777777" w:rsidR="00C03B1E" w:rsidRDefault="00000000">
            <w:r>
              <w:rPr>
                <w:rFonts w:ascii="Times New Roman" w:hAnsi="Times New Roman"/>
                <w:sz w:val="20"/>
              </w:rPr>
              <w:t>index of the first measured-grid level attaining the maximum axial load;</w:t>
            </w:r>
          </w:p>
        </w:tc>
      </w:tr>
      <w:tr w:rsidR="00DF4162" w:rsidRPr="009A7383" w14:paraId="12D98472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12A13303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m</w:t>
            </w:r>
          </w:p>
        </w:tc>
        <w:tc>
          <w:tcPr>
            <w:tcW w:w="7128" w:type="dxa"/>
            <w:vAlign w:val="center"/>
          </w:tcPr>
          <w:p w14:paraId="4D2EAE17" w14:textId="77777777" w:rsidR="00C03B1E" w:rsidRDefault="00000000">
            <w:r>
              <w:rPr>
                <w:rFonts w:ascii="Times New Roman" w:hAnsi="Times New Roman"/>
                <w:sz w:val="20"/>
              </w:rPr>
              <w:t>number of measured reference levels;</w:t>
            </w:r>
          </w:p>
        </w:tc>
      </w:tr>
      <w:tr w:rsidR="00DF4162" w:rsidRPr="009A7383" w14:paraId="2C4B3CA9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3DBAC5F5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m</w:t>
            </w:r>
            <w:r>
              <w:rPr>
                <w:rFonts w:ascii="Times New Roman" w:hAnsi="Times New Roman"/>
                <w:sz w:val="20"/>
                <w:vertAlign w:val="superscript"/>
              </w:rPr>
              <w:t>(f)</w:t>
            </w:r>
          </w:p>
        </w:tc>
        <w:tc>
          <w:tcPr>
            <w:tcW w:w="7128" w:type="dxa"/>
            <w:vAlign w:val="center"/>
          </w:tcPr>
          <w:p w14:paraId="414918DA" w14:textId="77777777" w:rsidR="00C03B1E" w:rsidRDefault="00000000">
            <w:r>
              <w:rPr>
                <w:rFonts w:ascii="Times New Roman" w:hAnsi="Times New Roman"/>
                <w:sz w:val="20"/>
              </w:rPr>
              <w:t>number of published or digital reference levels in profile f;</w:t>
            </w:r>
          </w:p>
        </w:tc>
      </w:tr>
      <w:tr w:rsidR="00DF4162" w:rsidRPr="009A7383" w14:paraId="2541E3C4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5D62F496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n</w:t>
            </w:r>
            <w:r>
              <w:rPr>
                <w:rFonts w:ascii="Times New Roman" w:hAnsi="Times New Roman"/>
                <w:sz w:val="20"/>
                <w:vertAlign w:val="subscript"/>
              </w:rPr>
              <w:t>s</w:t>
            </w:r>
          </w:p>
        </w:tc>
        <w:tc>
          <w:tcPr>
            <w:tcW w:w="7128" w:type="dxa"/>
            <w:vAlign w:val="center"/>
          </w:tcPr>
          <w:p w14:paraId="384E0C7D" w14:textId="77777777" w:rsidR="00C03B1E" w:rsidRDefault="00000000">
            <w:r>
              <w:rPr>
                <w:rFonts w:ascii="Times New Roman" w:hAnsi="Times New Roman"/>
                <w:sz w:val="20"/>
              </w:rPr>
              <w:t>total retained station count, n</w:t>
            </w:r>
            <w:r>
              <w:rPr>
                <w:rFonts w:ascii="Times New Roman" w:hAnsi="Times New Roman"/>
                <w:sz w:val="20"/>
                <w:vertAlign w:val="subscript"/>
              </w:rPr>
              <w:t>s</w:t>
            </w:r>
            <w:r>
              <w:rPr>
                <w:rFonts w:ascii="Times New Roman" w:hAnsi="Times New Roman"/>
                <w:sz w:val="20"/>
              </w:rPr>
              <w:t xml:space="preserve"> = b + 1;</w:t>
            </w:r>
          </w:p>
        </w:tc>
      </w:tr>
      <w:tr w:rsidR="00CD4B0C" w:rsidRPr="009A7383" w14:paraId="1B088D6E" w14:textId="77777777">
        <w:trPr>
          <w:cantSplit/>
          <w:jc w:val="center"/>
        </w:trPr>
        <w:tc>
          <w:tcPr>
            <w:tcW w:w="2232" w:type="dxa"/>
          </w:tcPr>
          <w:p w14:paraId="6BCB8D33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p</w:t>
            </w:r>
          </w:p>
        </w:tc>
        <w:tc>
          <w:tcPr>
            <w:tcW w:w="7128" w:type="dxa"/>
          </w:tcPr>
          <w:p w14:paraId="7AF4C3CD" w14:textId="77777777" w:rsidR="00C03B1E" w:rsidRDefault="00000000">
            <w:r>
              <w:rPr>
                <w:rFonts w:ascii="Times New Roman" w:hAnsi="Times New Roman"/>
                <w:sz w:val="20"/>
              </w:rPr>
              <w:t>pile index;</w:t>
            </w:r>
          </w:p>
        </w:tc>
      </w:tr>
      <w:tr w:rsidR="00CD4B0C" w:rsidRPr="009A7383" w14:paraId="208335CA" w14:textId="77777777">
        <w:trPr>
          <w:cantSplit/>
          <w:jc w:val="center"/>
        </w:trPr>
        <w:tc>
          <w:tcPr>
            <w:tcW w:w="2232" w:type="dxa"/>
          </w:tcPr>
          <w:p w14:paraId="3226757A" w14:textId="77777777" w:rsidR="000430F8" w:rsidRPr="00D43FEC" w:rsidRDefault="00000000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</w:rPr>
                      <m:t>α</m:t>
                    </m:r>
                  </m:sub>
                </m:sSub>
                <m:r>
                  <w:rPr>
                    <w:rFonts w:ascii="Cambria Math" w:hAnsi="Cambria Math"/>
                    <w:sz w:val="20"/>
                  </w:rPr>
                  <m:t>{·</m:t>
                </m:r>
                <m:r>
                  <w:rPr>
                    <w:rFonts w:ascii="Cambria Math" w:hAnsi="Cambria Math"/>
                    <w:sz w:val="20"/>
                  </w:rPr>
                  <m:t>}</m:t>
                </m:r>
              </m:oMath>
            </m:oMathPara>
          </w:p>
        </w:tc>
        <w:tc>
          <w:tcPr>
            <w:tcW w:w="7128" w:type="dxa"/>
          </w:tcPr>
          <w:p w14:paraId="08758BDC" w14:textId="77777777" w:rsidR="00C03B1E" w:rsidRDefault="00000000">
            <w:r>
              <w:rPr>
                <w:rFonts w:ascii="Times New Roman" w:hAnsi="Times New Roman"/>
                <w:sz w:val="20"/>
              </w:rPr>
              <w:t>empirical quantile at probability α;</w:t>
            </w:r>
          </w:p>
        </w:tc>
      </w:tr>
      <w:tr w:rsidR="00CD4B0C" w:rsidRPr="009A7383" w14:paraId="213E5E6A" w14:textId="77777777">
        <w:trPr>
          <w:cantSplit/>
          <w:jc w:val="center"/>
        </w:trPr>
        <w:tc>
          <w:tcPr>
            <w:tcW w:w="2232" w:type="dxa"/>
          </w:tcPr>
          <w:p w14:paraId="64B34911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r</w:t>
            </w:r>
            <w:r>
              <w:rPr>
                <w:rFonts w:ascii="Times New Roman" w:hAnsi="Times New Roman"/>
                <w:sz w:val="20"/>
                <w:vertAlign w:val="subscript"/>
              </w:rPr>
              <w:t>pet</w:t>
            </w:r>
            <w:r>
              <w:rPr>
                <w:rFonts w:ascii="Times New Roman" w:hAnsi="Times New Roman"/>
                <w:sz w:val="20"/>
              </w:rPr>
              <w:t>(D)</w:t>
            </w:r>
          </w:p>
        </w:tc>
        <w:tc>
          <w:tcPr>
            <w:tcW w:w="7128" w:type="dxa"/>
          </w:tcPr>
          <w:p w14:paraId="4D070457" w14:textId="77777777" w:rsidR="00C03B1E" w:rsidRDefault="00000000">
            <w:r>
              <w:rPr>
                <w:rFonts w:ascii="Times New Roman" w:hAnsi="Times New Roman"/>
                <w:sz w:val="20"/>
              </w:rPr>
              <w:t>snapshot NRMSE;</w:t>
            </w:r>
          </w:p>
        </w:tc>
      </w:tr>
      <w:tr w:rsidR="00CD4B0C" w:rsidRPr="009A7383" w14:paraId="4E6523D5" w14:textId="77777777">
        <w:trPr>
          <w:cantSplit/>
          <w:jc w:val="center"/>
        </w:trPr>
        <w:tc>
          <w:tcPr>
            <w:tcW w:w="2232" w:type="dxa"/>
          </w:tcPr>
          <w:p w14:paraId="70B8D60E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r</w:t>
            </w:r>
            <w:r>
              <w:rPr>
                <w:rFonts w:ascii="Times New Roman" w:hAnsi="Times New Roman"/>
                <w:sz w:val="20"/>
                <w:vertAlign w:val="superscript"/>
              </w:rPr>
              <w:t>(f)</w:t>
            </w:r>
            <w:r>
              <w:rPr>
                <w:rFonts w:ascii="Times New Roman" w:hAnsi="Times New Roman"/>
                <w:sz w:val="20"/>
              </w:rPr>
              <w:t>(D)</w:t>
            </w:r>
          </w:p>
        </w:tc>
        <w:tc>
          <w:tcPr>
            <w:tcW w:w="7128" w:type="dxa"/>
          </w:tcPr>
          <w:p w14:paraId="7DF8D736" w14:textId="77777777" w:rsidR="00C03B1E" w:rsidRDefault="00000000">
            <w:r>
              <w:rPr>
                <w:rFonts w:ascii="Times New Roman" w:hAnsi="Times New Roman"/>
                <w:sz w:val="20"/>
              </w:rPr>
              <w:t>static-profile NRMSE for layout D in independent profile f;</w:t>
            </w:r>
          </w:p>
        </w:tc>
      </w:tr>
      <w:tr w:rsidR="00CD4B0C" w:rsidRPr="009A7383" w14:paraId="03990B0B" w14:textId="77777777">
        <w:trPr>
          <w:cantSplit/>
          <w:jc w:val="center"/>
        </w:trPr>
        <w:tc>
          <w:tcPr>
            <w:tcW w:w="2232" w:type="dxa"/>
          </w:tcPr>
          <w:p w14:paraId="191C8DE7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</w:t>
            </w:r>
            <w:r>
              <w:rPr>
                <w:rFonts w:ascii="Times New Roman" w:hAnsi="Times New Roman"/>
                <w:sz w:val="20"/>
                <w:vertAlign w:val="subscript"/>
              </w:rPr>
              <w:t>0</w:t>
            </w:r>
          </w:p>
        </w:tc>
        <w:tc>
          <w:tcPr>
            <w:tcW w:w="7128" w:type="dxa"/>
          </w:tcPr>
          <w:p w14:paraId="777CA37E" w14:textId="77777777" w:rsidR="00C03B1E" w:rsidRDefault="00000000">
            <w:r>
              <w:rPr>
                <w:rFonts w:ascii="Times New Roman" w:hAnsi="Times New Roman"/>
                <w:sz w:val="20"/>
              </w:rPr>
              <w:t>NRMSE floor, 0.05 MN in the reported specification;</w:t>
            </w:r>
          </w:p>
        </w:tc>
      </w:tr>
      <w:tr w:rsidR="00CD4B0C" w:rsidRPr="009A7383" w14:paraId="5A902CA8" w14:textId="77777777">
        <w:trPr>
          <w:cantSplit/>
          <w:jc w:val="center"/>
        </w:trPr>
        <w:tc>
          <w:tcPr>
            <w:tcW w:w="2232" w:type="dxa"/>
          </w:tcPr>
          <w:p w14:paraId="214958A0" w14:textId="77777777" w:rsidR="000430F8" w:rsidRPr="00D43FEC" w:rsidRDefault="00000000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</w:rPr>
                      <m:t>pet</m:t>
                    </m:r>
                  </m:sub>
                </m:sSub>
              </m:oMath>
            </m:oMathPara>
          </w:p>
        </w:tc>
        <w:tc>
          <w:tcPr>
            <w:tcW w:w="7128" w:type="dxa"/>
          </w:tcPr>
          <w:p w14:paraId="15D9AB60" w14:textId="77777777" w:rsidR="00C03B1E" w:rsidRDefault="00000000">
            <w:r>
              <w:rPr>
                <w:rFonts w:ascii="Times New Roman" w:hAnsi="Times New Roman"/>
                <w:sz w:val="20"/>
              </w:rPr>
              <w:t>snapshot-specific normalisation scale;</w:t>
            </w:r>
          </w:p>
        </w:tc>
      </w:tr>
      <w:tr w:rsidR="00CD4B0C" w:rsidRPr="009A7383" w14:paraId="77463ED6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680E1E5E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t</w:t>
            </w:r>
          </w:p>
        </w:tc>
        <w:tc>
          <w:tcPr>
            <w:tcW w:w="7128" w:type="dxa"/>
            <w:vAlign w:val="center"/>
          </w:tcPr>
          <w:p w14:paraId="00AFE73A" w14:textId="77777777" w:rsidR="00C03B1E" w:rsidRDefault="00000000">
            <w:r>
              <w:rPr>
                <w:rFonts w:ascii="Times New Roman" w:hAnsi="Times New Roman"/>
                <w:sz w:val="20"/>
              </w:rPr>
              <w:t>sampled-time index;</w:t>
            </w:r>
          </w:p>
        </w:tc>
      </w:tr>
      <w:tr w:rsidR="00CD4B0C" w:rsidRPr="009A7383" w14:paraId="5B59D812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5CE57C5F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x</w:t>
            </w:r>
            <w:r>
              <w:rPr>
                <w:rFonts w:ascii="Times New Roman" w:hAnsi="Times New Roman"/>
                <w:sz w:val="20"/>
                <w:vertAlign w:val="subscript"/>
              </w:rPr>
              <w:t>i</w:t>
            </w:r>
          </w:p>
        </w:tc>
        <w:tc>
          <w:tcPr>
            <w:tcW w:w="7128" w:type="dxa"/>
            <w:vAlign w:val="center"/>
          </w:tcPr>
          <w:p w14:paraId="6AE12BCA" w14:textId="77777777" w:rsidR="00C03B1E" w:rsidRDefault="00000000">
            <w:r>
              <w:rPr>
                <w:rFonts w:ascii="Times New Roman" w:hAnsi="Times New Roman"/>
                <w:sz w:val="20"/>
              </w:rPr>
              <w:t>axial coordinate of measured level i;</w:t>
            </w:r>
          </w:p>
        </w:tc>
      </w:tr>
      <w:tr w:rsidR="00CD4B0C" w:rsidRPr="009A7383" w14:paraId="225D90AC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20C315C4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x</w:t>
            </w:r>
            <w:r>
              <w:rPr>
                <w:rFonts w:ascii="Times New Roman" w:hAnsi="Times New Roman"/>
                <w:sz w:val="20"/>
                <w:vertAlign w:val="subscript"/>
              </w:rPr>
              <w:t>u</w:t>
            </w:r>
            <w:r>
              <w:rPr>
                <w:rFonts w:ascii="Times New Roman" w:hAnsi="Times New Roman"/>
                <w:sz w:val="20"/>
              </w:rPr>
              <w:t>, x</w:t>
            </w:r>
            <w:r>
              <w:rPr>
                <w:rFonts w:ascii="Times New Roman" w:hAnsi="Times New Roman"/>
                <w:sz w:val="20"/>
                <w:vertAlign w:val="subscript"/>
              </w:rPr>
              <w:t>l</w:t>
            </w:r>
          </w:p>
        </w:tc>
        <w:tc>
          <w:tcPr>
            <w:tcW w:w="7128" w:type="dxa"/>
            <w:vAlign w:val="center"/>
          </w:tcPr>
          <w:p w14:paraId="7726B0E7" w14:textId="77777777" w:rsidR="00C03B1E" w:rsidRDefault="00000000">
            <w:r>
              <w:rPr>
                <w:rFonts w:ascii="Times New Roman" w:hAnsi="Times New Roman"/>
                <w:sz w:val="20"/>
              </w:rPr>
              <w:t>upper and lower coordinates of the common measured span;</w:t>
            </w:r>
          </w:p>
        </w:tc>
      </w:tr>
      <w:tr w:rsidR="00CD4B0C" w:rsidRPr="009A7383" w14:paraId="0EFF4AFE" w14:textId="77777777">
        <w:trPr>
          <w:cantSplit/>
          <w:jc w:val="center"/>
        </w:trPr>
        <w:tc>
          <w:tcPr>
            <w:tcW w:w="2232" w:type="dxa"/>
            <w:vAlign w:val="center"/>
          </w:tcPr>
          <w:p w14:paraId="7A83C89C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z</w:t>
            </w:r>
            <w:r>
              <w:rPr>
                <w:rFonts w:ascii="Times New Roman" w:hAnsi="Times New Roman"/>
                <w:sz w:val="20"/>
                <w:vertAlign w:val="subscript"/>
              </w:rPr>
              <w:t>i</w:t>
            </w:r>
          </w:p>
        </w:tc>
        <w:tc>
          <w:tcPr>
            <w:tcW w:w="7128" w:type="dxa"/>
            <w:vAlign w:val="center"/>
          </w:tcPr>
          <w:p w14:paraId="2CB3F65E" w14:textId="77777777" w:rsidR="00C03B1E" w:rsidRDefault="00000000">
            <w:r>
              <w:rPr>
                <w:rFonts w:ascii="Times New Roman" w:hAnsi="Times New Roman"/>
                <w:sz w:val="20"/>
              </w:rPr>
              <w:t>normalised coordinate over the measured span;</w:t>
            </w:r>
          </w:p>
        </w:tc>
      </w:tr>
      <w:tr w:rsidR="00CD4B0C" w:rsidRPr="009A7383" w14:paraId="35B1E182" w14:textId="77777777">
        <w:trPr>
          <w:cantSplit/>
          <w:jc w:val="center"/>
        </w:trPr>
        <w:tc>
          <w:tcPr>
            <w:tcW w:w="223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2ECB9C1" w14:textId="77777777" w:rsidR="000430F8" w:rsidRPr="00D43FEC" w:rsidRDefault="00000000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</w:rPr>
                      <m:t>pet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</w:rPr>
                      <m:t>max</m:t>
                    </m:r>
                  </m:sup>
                </m:sSubSup>
              </m:oMath>
            </m:oMathPara>
          </w:p>
        </w:tc>
        <w:tc>
          <w:tcPr>
            <w:tcW w:w="712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E9F05E3" w14:textId="77777777" w:rsidR="00C03B1E" w:rsidRDefault="00000000">
            <w:r>
              <w:rPr>
                <w:rFonts w:ascii="Times New Roman" w:hAnsi="Times New Roman"/>
                <w:sz w:val="20"/>
              </w:rPr>
              <w:t>normalised depth of the discrete peak-load level;</w:t>
            </w:r>
          </w:p>
        </w:tc>
      </w:tr>
      <w:tr w:rsidR="00CD4B0C" w:rsidRPr="009A7383" w14:paraId="68E4E9DE" w14:textId="77777777">
        <w:trPr>
          <w:cantSplit/>
          <w:jc w:val="center"/>
        </w:trPr>
        <w:tc>
          <w:tcPr>
            <w:tcW w:w="223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424FE70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Δ</w:t>
            </w:r>
            <w:r>
              <w:rPr>
                <w:rFonts w:ascii="Times New Roman" w:hAnsi="Times New Roman"/>
                <w:sz w:val="20"/>
                <w:vertAlign w:val="subscript"/>
              </w:rPr>
              <w:t>e</w:t>
            </w:r>
            <w:r>
              <w:rPr>
                <w:rFonts w:ascii="Times New Roman" w:hAnsi="Times New Roman"/>
                <w:sz w:val="20"/>
              </w:rPr>
              <w:t>(D)</w:t>
            </w:r>
          </w:p>
        </w:tc>
        <w:tc>
          <w:tcPr>
            <w:tcW w:w="712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A41C9BC" w14:textId="77777777" w:rsidR="00C03B1E" w:rsidRDefault="00000000">
            <w:r>
              <w:rPr>
                <w:rFonts w:ascii="Times New Roman" w:hAnsi="Times New Roman"/>
                <w:sz w:val="20"/>
              </w:rPr>
              <w:t>earthquake-level median paired candidate-minus-uniform difference;</w:t>
            </w:r>
          </w:p>
        </w:tc>
      </w:tr>
      <w:tr w:rsidR="00CD4B0C" w:rsidRPr="009A7383" w14:paraId="6CD7B141" w14:textId="77777777">
        <w:trPr>
          <w:cantSplit/>
          <w:jc w:val="center"/>
        </w:trPr>
        <w:tc>
          <w:tcPr>
            <w:tcW w:w="223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0ECC8CF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i/>
                <w:sz w:val="20"/>
              </w:rPr>
              <w:t>ε</w:t>
            </w:r>
            <w:r>
              <w:rPr>
                <w:rFonts w:ascii="Times New Roman" w:hAnsi="Times New Roman"/>
                <w:sz w:val="20"/>
                <w:vertAlign w:val="subscript"/>
              </w:rPr>
              <w:t>Q,pet</w:t>
            </w:r>
            <w:r>
              <w:rPr>
                <w:rFonts w:ascii="Times New Roman" w:hAnsi="Times New Roman"/>
                <w:sz w:val="20"/>
              </w:rPr>
              <w:t>(D)</w:t>
            </w:r>
          </w:p>
        </w:tc>
        <w:tc>
          <w:tcPr>
            <w:tcW w:w="712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6E07AE7" w14:textId="77777777" w:rsidR="00C03B1E" w:rsidRDefault="00000000">
            <w:r>
              <w:rPr>
                <w:rFonts w:ascii="Times New Roman" w:hAnsi="Times New Roman"/>
                <w:sz w:val="20"/>
              </w:rPr>
              <w:t>relative reconstructed peak-load magnitude error for layout D;</w:t>
            </w:r>
          </w:p>
        </w:tc>
      </w:tr>
      <w:tr w:rsidR="00CD4B0C" w:rsidRPr="009A7383" w14:paraId="387229F5" w14:textId="77777777">
        <w:trPr>
          <w:cantSplit/>
          <w:jc w:val="center"/>
        </w:trPr>
        <w:tc>
          <w:tcPr>
            <w:tcW w:w="223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9B7F371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i/>
                <w:sz w:val="20"/>
              </w:rPr>
              <w:t>ε</w:t>
            </w:r>
            <w:r>
              <w:rPr>
                <w:rFonts w:ascii="Times New Roman" w:hAnsi="Times New Roman"/>
                <w:sz w:val="20"/>
                <w:vertAlign w:val="subscript"/>
              </w:rPr>
              <w:t>z,pet</w:t>
            </w:r>
            <w:r>
              <w:rPr>
                <w:rFonts w:ascii="Times New Roman" w:hAnsi="Times New Roman"/>
                <w:sz w:val="20"/>
              </w:rPr>
              <w:t>(D)</w:t>
            </w:r>
          </w:p>
        </w:tc>
        <w:tc>
          <w:tcPr>
            <w:tcW w:w="712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102EE07" w14:textId="77777777" w:rsidR="00C03B1E" w:rsidRDefault="00000000">
            <w:r>
              <w:rPr>
                <w:rFonts w:ascii="Times New Roman" w:hAnsi="Times New Roman"/>
                <w:sz w:val="20"/>
              </w:rPr>
              <w:t>absolute reconstructed peak-depth error on the normalised measured grid;</w:t>
            </w:r>
          </w:p>
        </w:tc>
      </w:tr>
      <w:tr w:rsidR="00CD4B0C" w:rsidRPr="009A7383" w14:paraId="59BCC10D" w14:textId="77777777">
        <w:trPr>
          <w:cantSplit/>
          <w:jc w:val="center"/>
        </w:trPr>
        <w:tc>
          <w:tcPr>
            <w:tcW w:w="223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EC06450" w14:textId="77777777" w:rsidR="000430F8" w:rsidRPr="009A7383" w:rsidRDefault="008D78AE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κ</w:t>
            </w:r>
            <w:r>
              <w:rPr>
                <w:rFonts w:ascii="Times New Roman" w:hAnsi="Times New Roman"/>
                <w:sz w:val="20"/>
                <w:vertAlign w:val="subscript"/>
              </w:rPr>
              <w:t>pet</w:t>
            </w:r>
            <w:r>
              <w:rPr>
                <w:rFonts w:ascii="Times New Roman" w:hAnsi="Times New Roman"/>
                <w:sz w:val="20"/>
              </w:rPr>
              <w:t>,</w:t>
            </w:r>
            <w:r>
              <w:rPr>
                <w:rFonts w:ascii="Times New Roman" w:hAnsi="Times New Roman"/>
                <w:sz w:val="20"/>
                <w:vertAlign w:val="subscript"/>
              </w:rPr>
              <w:t>i</w:t>
            </w:r>
          </w:p>
        </w:tc>
        <w:tc>
          <w:tcPr>
            <w:tcW w:w="712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5D50F68" w14:textId="77777777" w:rsidR="00C03B1E" w:rsidRDefault="00000000">
            <w:r>
              <w:rPr>
                <w:rFonts w:ascii="Times New Roman" w:hAnsi="Times New Roman"/>
                <w:sz w:val="20"/>
              </w:rPr>
              <w:t>normalised absolute second difference at internal measured level i;</w:t>
            </w:r>
          </w:p>
        </w:tc>
      </w:tr>
      <w:tr w:rsidR="00CD4B0C" w:rsidRPr="009A7383" w14:paraId="1F6A85DE" w14:textId="77777777">
        <w:trPr>
          <w:cantSplit/>
          <w:jc w:val="center"/>
        </w:trPr>
        <w:tc>
          <w:tcPr>
            <w:tcW w:w="223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946F95F" w14:textId="77777777" w:rsidR="000430F8" w:rsidRPr="00D43FEC" w:rsidRDefault="00000000" w:rsidP="00FE0AD1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</w:rPr>
                      <m:t>Ẽ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sz w:val="20"/>
                  </w:rPr>
                  <m:t>(D</m:t>
                </m:r>
                <m:r>
                  <w:rPr>
                    <w:rFonts w:ascii="Cambria Math" w:hAnsi="Cambria Math"/>
                    <w:sz w:val="20"/>
                  </w:rPr>
                  <m:t>)</m:t>
                </m:r>
              </m:oMath>
            </m:oMathPara>
          </w:p>
        </w:tc>
        <w:tc>
          <w:tcPr>
            <w:tcW w:w="712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2D98FB2" w14:textId="77777777" w:rsidR="00C03B1E" w:rsidRDefault="00000000">
            <w:r>
              <w:rPr>
                <w:rFonts w:ascii="Times New Roman" w:hAnsi="Times New Roman"/>
                <w:sz w:val="20"/>
              </w:rPr>
              <w:t>median target-event error of layout D;</w:t>
            </w:r>
          </w:p>
        </w:tc>
      </w:tr>
      <w:tr w:rsidR="00C03B1E" w14:paraId="73B11493" w14:textId="77777777">
        <w:trPr>
          <w:jc w:val="center"/>
        </w:trPr>
        <w:tc>
          <w:tcPr>
            <w:tcW w:w="2232" w:type="dxa"/>
          </w:tcPr>
          <w:p w14:paraId="549E6632" w14:textId="77777777" w:rsidR="00C03B1E" w:rsidRDefault="00000000"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w="7128" w:type="dxa"/>
          </w:tcPr>
          <w:p w14:paraId="5BC3701E" w14:textId="77777777" w:rsidR="00C03B1E" w:rsidRDefault="00000000">
            <w:r>
              <w:rPr>
                <w:rFonts w:ascii="Times New Roman" w:hAnsi="Times New Roman"/>
                <w:sz w:val="20"/>
              </w:rPr>
              <w:t>reference levels below the candidate layout’s deepest retained station;</w:t>
            </w:r>
          </w:p>
        </w:tc>
      </w:tr>
      <w:tr w:rsidR="00C03B1E" w14:paraId="00568F68" w14:textId="77777777">
        <w:trPr>
          <w:jc w:val="center"/>
        </w:trPr>
        <w:tc>
          <w:tcPr>
            <w:tcW w:w="2232" w:type="dxa"/>
          </w:tcPr>
          <w:p w14:paraId="6B6F37E5" w14:textId="77777777" w:rsidR="00C03B1E" w:rsidRDefault="00000000">
            <w:r>
              <w:rPr>
                <w:rFonts w:ascii="Times New Roman" w:hAnsi="Times New Roman"/>
                <w:sz w:val="20"/>
              </w:rPr>
              <w:t>e</w:t>
            </w:r>
            <w:r>
              <w:rPr>
                <w:rFonts w:ascii="Times New Roman" w:hAnsi="Times New Roman"/>
                <w:sz w:val="20"/>
                <w:vertAlign w:val="subscript"/>
              </w:rPr>
              <w:t>i</w:t>
            </w:r>
            <w:r>
              <w:rPr>
                <w:rFonts w:ascii="Times New Roman" w:hAnsi="Times New Roman"/>
                <w:sz w:val="20"/>
              </w:rPr>
              <w:t>(D)</w:t>
            </w:r>
          </w:p>
        </w:tc>
        <w:tc>
          <w:tcPr>
            <w:tcW w:w="7128" w:type="dxa"/>
          </w:tcPr>
          <w:p w14:paraId="24C04CFF" w14:textId="77777777" w:rsidR="00C03B1E" w:rsidRDefault="00000000">
            <w:r>
              <w:rPr>
                <w:rFonts w:ascii="Times New Roman" w:hAnsi="Times New Roman"/>
                <w:sz w:val="20"/>
              </w:rPr>
              <w:t>normalised reconstruction residual at reference level i for layout D;</w:t>
            </w:r>
          </w:p>
        </w:tc>
      </w:tr>
    </w:tbl>
    <w:p w14:paraId="13C8482C" w14:textId="77777777" w:rsidR="00C03B1E" w:rsidRDefault="00000000">
      <w:pPr>
        <w:keepNext/>
        <w:spacing w:before="120"/>
      </w:pPr>
      <w:r>
        <w:rPr>
          <w:rFonts w:ascii="Times New Roman" w:hAnsi="Times New Roman"/>
          <w:b/>
          <w:sz w:val="20"/>
        </w:rPr>
        <w:lastRenderedPageBreak/>
        <w:t>Table S1. Robustness and secondary checks</w:t>
      </w:r>
    </w:p>
    <w:tbl>
      <w:tblPr>
        <w:tblW w:w="9360" w:type="dxa"/>
        <w:tblInd w:w="120" w:type="dxa"/>
        <w:tblBorders>
          <w:top w:val="single" w:sz="6" w:space="0" w:color="auto"/>
          <w:left w:val="nil"/>
          <w:bottom w:val="single" w:sz="6" w:space="0" w:color="auto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901"/>
        <w:gridCol w:w="2925"/>
        <w:gridCol w:w="2120"/>
        <w:gridCol w:w="2414"/>
      </w:tblGrid>
      <w:tr w:rsidR="00DF4162" w:rsidRPr="009A7383" w14:paraId="40C86F06" w14:textId="77777777">
        <w:trPr>
          <w:cantSplit/>
          <w:tblHeader/>
        </w:trPr>
        <w:tc>
          <w:tcPr>
            <w:tcW w:w="1901" w:type="dxa"/>
            <w:tcBorders>
              <w:bottom w:val="single" w:sz="6" w:space="0" w:color="auto"/>
            </w:tcBorders>
            <w:vAlign w:val="center"/>
          </w:tcPr>
          <w:p w14:paraId="05858D17" w14:textId="77777777" w:rsidR="00DF4162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Check</w:t>
            </w:r>
          </w:p>
        </w:tc>
        <w:tc>
          <w:tcPr>
            <w:tcW w:w="2925" w:type="dxa"/>
            <w:tcBorders>
              <w:bottom w:val="single" w:sz="6" w:space="0" w:color="auto"/>
            </w:tcBorders>
            <w:vAlign w:val="center"/>
          </w:tcPr>
          <w:p w14:paraId="6F8269AD" w14:textId="77777777" w:rsidR="00DF4162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Comparison</w:t>
            </w:r>
          </w:p>
        </w:tc>
        <w:tc>
          <w:tcPr>
            <w:tcW w:w="2120" w:type="dxa"/>
            <w:tcBorders>
              <w:bottom w:val="single" w:sz="6" w:space="0" w:color="auto"/>
            </w:tcBorders>
            <w:vAlign w:val="center"/>
          </w:tcPr>
          <w:p w14:paraId="791CF854" w14:textId="77777777" w:rsidR="00DF4162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Result</w:t>
            </w:r>
          </w:p>
        </w:tc>
        <w:tc>
          <w:tcPr>
            <w:tcW w:w="2414" w:type="dxa"/>
            <w:tcBorders>
              <w:bottom w:val="single" w:sz="6" w:space="0" w:color="auto"/>
            </w:tcBorders>
            <w:vAlign w:val="center"/>
          </w:tcPr>
          <w:p w14:paraId="676FA2E1" w14:textId="77777777" w:rsidR="00DF4162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Interpretation</w:t>
            </w:r>
          </w:p>
        </w:tc>
      </w:tr>
      <w:tr w:rsidR="00DF4162" w:rsidRPr="009A7383" w14:paraId="3AE042B8" w14:textId="77777777">
        <w:trPr>
          <w:cantSplit/>
        </w:trPr>
        <w:tc>
          <w:tcPr>
            <w:tcW w:w="1901" w:type="dxa"/>
            <w:vAlign w:val="center"/>
          </w:tcPr>
          <w:p w14:paraId="6458187D" w14:textId="77777777" w:rsidR="00DF4162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12 specifications</w:t>
            </w:r>
          </w:p>
        </w:tc>
        <w:tc>
          <w:tcPr>
            <w:tcW w:w="2925" w:type="dxa"/>
            <w:vAlign w:val="center"/>
          </w:tcPr>
          <w:p w14:paraId="22B04F0D" w14:textId="77777777" w:rsidR="00DF4162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SKS02 → SKS03, b = 2–4</w:t>
            </w:r>
          </w:p>
        </w:tc>
        <w:tc>
          <w:tcPr>
            <w:tcW w:w="2120" w:type="dxa"/>
            <w:vAlign w:val="center"/>
          </w:tcPr>
          <w:p w14:paraId="60D55ED1" w14:textId="77777777" w:rsidR="000430F8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Lower error in 12/12 specifications at each budget</w:t>
            </w:r>
          </w:p>
        </w:tc>
        <w:tc>
          <w:tcPr>
            <w:tcW w:w="2414" w:type="dxa"/>
            <w:vAlign w:val="center"/>
          </w:tcPr>
          <w:p w14:paraId="74A3617F" w14:textId="77777777" w:rsidR="00DF4162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Direction and layout invariant</w:t>
            </w:r>
          </w:p>
        </w:tc>
      </w:tr>
      <w:tr w:rsidR="00DF4162" w:rsidRPr="009A7383" w14:paraId="6411C4C4" w14:textId="77777777">
        <w:trPr>
          <w:cantSplit/>
        </w:trPr>
        <w:tc>
          <w:tcPr>
            <w:tcW w:w="1901" w:type="dxa"/>
            <w:vAlign w:val="center"/>
          </w:tcPr>
          <w:p w14:paraId="486C50CE" w14:textId="77777777" w:rsidR="00DF4162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12 specifications</w:t>
            </w:r>
          </w:p>
        </w:tc>
        <w:tc>
          <w:tcPr>
            <w:tcW w:w="2925" w:type="dxa"/>
            <w:vAlign w:val="center"/>
          </w:tcPr>
          <w:p w14:paraId="7E64BF01" w14:textId="77777777" w:rsidR="00DF4162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SKS03 → SKS02, b = 3–4</w:t>
            </w:r>
          </w:p>
        </w:tc>
        <w:tc>
          <w:tcPr>
            <w:tcW w:w="2120" w:type="dxa"/>
            <w:vAlign w:val="center"/>
          </w:tcPr>
          <w:p w14:paraId="7A009733" w14:textId="77777777" w:rsidR="000430F8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Lower error in 12/12 specifications at each budget</w:t>
            </w:r>
          </w:p>
        </w:tc>
        <w:tc>
          <w:tcPr>
            <w:tcW w:w="2414" w:type="dxa"/>
            <w:vAlign w:val="center"/>
          </w:tcPr>
          <w:p w14:paraId="03B579E4" w14:textId="77777777" w:rsidR="00DF4162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Direction and layout invariant</w:t>
            </w:r>
          </w:p>
        </w:tc>
      </w:tr>
      <w:tr w:rsidR="00DF4162" w:rsidRPr="009A7383" w14:paraId="288F285E" w14:textId="77777777">
        <w:trPr>
          <w:cantSplit/>
        </w:trPr>
        <w:tc>
          <w:tcPr>
            <w:tcW w:w="1901" w:type="dxa"/>
            <w:vAlign w:val="center"/>
          </w:tcPr>
          <w:p w14:paraId="18B6821A" w14:textId="77777777" w:rsidR="00DF4162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12 specifications</w:t>
            </w:r>
          </w:p>
        </w:tc>
        <w:tc>
          <w:tcPr>
            <w:tcW w:w="2925" w:type="dxa"/>
            <w:vAlign w:val="center"/>
          </w:tcPr>
          <w:p w14:paraId="2CA9CC54" w14:textId="77777777" w:rsidR="00DF4162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SKS03 → SKS02, b = 2</w:t>
            </w:r>
          </w:p>
        </w:tc>
        <w:tc>
          <w:tcPr>
            <w:tcW w:w="2120" w:type="dxa"/>
            <w:vAlign w:val="center"/>
          </w:tcPr>
          <w:p w14:paraId="091084CA" w14:textId="77777777" w:rsidR="00DF4162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+0.0230 to +0.0236</w:t>
            </w:r>
          </w:p>
        </w:tc>
        <w:tc>
          <w:tcPr>
            <w:tcW w:w="2414" w:type="dxa"/>
            <w:vAlign w:val="center"/>
          </w:tcPr>
          <w:p w14:paraId="59C2FDCB" w14:textId="77777777" w:rsidR="000430F8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Higher-error direction persists</w:t>
            </w:r>
          </w:p>
        </w:tc>
      </w:tr>
      <w:tr w:rsidR="00DF4162" w:rsidRPr="009A7383" w14:paraId="56EC8CA3" w14:textId="77777777">
        <w:trPr>
          <w:cantSplit/>
        </w:trPr>
        <w:tc>
          <w:tcPr>
            <w:tcW w:w="1901" w:type="dxa"/>
            <w:vAlign w:val="center"/>
          </w:tcPr>
          <w:p w14:paraId="170C6CE7" w14:textId="77777777" w:rsidR="00DF4162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Partial six-level grid</w:t>
            </w:r>
          </w:p>
        </w:tc>
        <w:tc>
          <w:tcPr>
            <w:tcW w:w="2925" w:type="dxa"/>
            <w:vAlign w:val="center"/>
          </w:tcPr>
          <w:p w14:paraId="52BA89B9" w14:textId="77777777" w:rsidR="00DF4162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SKS02 layout → SKS03 Pile 1, b = 2</w:t>
            </w:r>
          </w:p>
        </w:tc>
        <w:tc>
          <w:tcPr>
            <w:tcW w:w="2120" w:type="dxa"/>
            <w:vAlign w:val="center"/>
          </w:tcPr>
          <w:p w14:paraId="594253B3" w14:textId="77777777" w:rsidR="00DF4162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Median −0.180; better in 5/5</w:t>
            </w:r>
          </w:p>
        </w:tc>
        <w:tc>
          <w:tcPr>
            <w:tcW w:w="2414" w:type="dxa"/>
            <w:vAlign w:val="center"/>
          </w:tcPr>
          <w:p w14:paraId="6091DD88" w14:textId="77777777" w:rsidR="00DF4162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Secondary, no target imputation</w:t>
            </w:r>
          </w:p>
        </w:tc>
      </w:tr>
    </w:tbl>
    <w:p w14:paraId="4BDC2813" w14:textId="77777777" w:rsidR="00C03B1E" w:rsidRDefault="00000000">
      <w:r>
        <w:rPr>
          <w:rFonts w:ascii="Times New Roman" w:hAnsi="Times New Roman"/>
          <w:sz w:val="20"/>
        </w:rPr>
        <w:t>Source: Sinha et al. (2020a, b). Candidate-minus-uniform differences are paired within earthquake; added budget b excludes the fixed upper station.</w:t>
      </w:r>
    </w:p>
    <w:p w14:paraId="57FA3918" w14:textId="77777777" w:rsidR="00C03B1E" w:rsidRDefault="00000000">
      <w:pPr>
        <w:keepNext/>
        <w:spacing w:before="120"/>
      </w:pPr>
      <w:r>
        <w:rPr>
          <w:rFonts w:ascii="Times New Roman" w:hAnsi="Times New Roman"/>
          <w:b/>
          <w:sz w:val="20"/>
        </w:rPr>
        <w:t>Table S2. Objective-specific transfer and high-budget saturation</w:t>
      </w:r>
    </w:p>
    <w:tbl>
      <w:tblPr>
        <w:tblW w:w="9360" w:type="dxa"/>
        <w:tblInd w:w="120" w:type="dxa"/>
        <w:tblBorders>
          <w:top w:val="single" w:sz="6" w:space="0" w:color="auto"/>
          <w:left w:val="nil"/>
          <w:bottom w:val="single" w:sz="6" w:space="0" w:color="auto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768"/>
        <w:gridCol w:w="810"/>
        <w:gridCol w:w="1547"/>
        <w:gridCol w:w="1621"/>
        <w:gridCol w:w="1621"/>
        <w:gridCol w:w="1993"/>
      </w:tblGrid>
      <w:tr w:rsidR="00CD4B0C" w:rsidRPr="009A7383" w14:paraId="233EC4B0" w14:textId="77777777">
        <w:trPr>
          <w:cantSplit/>
          <w:tblHeader/>
        </w:trPr>
        <w:tc>
          <w:tcPr>
            <w:tcW w:w="1768" w:type="dxa"/>
            <w:tcBorders>
              <w:bottom w:val="single" w:sz="6" w:space="0" w:color="auto"/>
            </w:tcBorders>
          </w:tcPr>
          <w:p w14:paraId="356D1F8B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Selection → evaluation</w:t>
            </w:r>
          </w:p>
        </w:tc>
        <w:tc>
          <w:tcPr>
            <w:tcW w:w="810" w:type="dxa"/>
            <w:tcBorders>
              <w:bottom w:val="single" w:sz="6" w:space="0" w:color="auto"/>
            </w:tcBorders>
          </w:tcPr>
          <w:p w14:paraId="365FD876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Added b</w:t>
            </w:r>
          </w:p>
        </w:tc>
        <w:tc>
          <w:tcPr>
            <w:tcW w:w="1547" w:type="dxa"/>
            <w:tcBorders>
              <w:bottom w:val="single" w:sz="6" w:space="0" w:color="auto"/>
            </w:tcBorders>
          </w:tcPr>
          <w:p w14:paraId="15FFECDA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Median Δ NRMSE</w:t>
            </w:r>
          </w:p>
        </w:tc>
        <w:tc>
          <w:tcPr>
            <w:tcW w:w="1621" w:type="dxa"/>
            <w:tcBorders>
              <w:bottom w:val="single" w:sz="6" w:space="0" w:color="auto"/>
            </w:tcBorders>
          </w:tcPr>
          <w:p w14:paraId="162E33B3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Median Δ peak load</w:t>
            </w:r>
          </w:p>
        </w:tc>
        <w:tc>
          <w:tcPr>
            <w:tcW w:w="1621" w:type="dxa"/>
            <w:tcBorders>
              <w:bottom w:val="single" w:sz="6" w:space="0" w:color="auto"/>
            </w:tcBorders>
          </w:tcPr>
          <w:p w14:paraId="05821EF7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Median Δ peak depth</w:t>
            </w:r>
          </w:p>
        </w:tc>
        <w:tc>
          <w:tcPr>
            <w:tcW w:w="1993" w:type="dxa"/>
            <w:tcBorders>
              <w:bottom w:val="single" w:sz="6" w:space="0" w:color="auto"/>
            </w:tcBorders>
          </w:tcPr>
          <w:p w14:paraId="6BEAA166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Events better: load/depth</w:t>
            </w:r>
          </w:p>
        </w:tc>
      </w:tr>
      <w:tr w:rsidR="00CD4B0C" w:rsidRPr="009A7383" w14:paraId="1E251FBF" w14:textId="77777777">
        <w:trPr>
          <w:cantSplit/>
        </w:trPr>
        <w:tc>
          <w:tcPr>
            <w:tcW w:w="1768" w:type="dxa"/>
          </w:tcPr>
          <w:p w14:paraId="3A0C4684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SKS02 → SKS03</w:t>
            </w:r>
          </w:p>
        </w:tc>
        <w:tc>
          <w:tcPr>
            <w:tcW w:w="810" w:type="dxa"/>
          </w:tcPr>
          <w:p w14:paraId="03FA00BC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w="1547" w:type="dxa"/>
          </w:tcPr>
          <w:p w14:paraId="28FAEA6A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−0.116</w:t>
            </w:r>
          </w:p>
        </w:tc>
        <w:tc>
          <w:tcPr>
            <w:tcW w:w="1621" w:type="dxa"/>
          </w:tcPr>
          <w:p w14:paraId="3CFFAE3D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−0.108</w:t>
            </w:r>
          </w:p>
        </w:tc>
        <w:tc>
          <w:tcPr>
            <w:tcW w:w="1621" w:type="dxa"/>
          </w:tcPr>
          <w:p w14:paraId="37CC29CF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+0.000</w:t>
            </w:r>
          </w:p>
        </w:tc>
        <w:tc>
          <w:tcPr>
            <w:tcW w:w="1993" w:type="dxa"/>
          </w:tcPr>
          <w:p w14:paraId="2E6CC743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5/5; 1/5</w:t>
            </w:r>
          </w:p>
        </w:tc>
      </w:tr>
      <w:tr w:rsidR="00CD4B0C" w:rsidRPr="009A7383" w14:paraId="5AEF1805" w14:textId="77777777">
        <w:trPr>
          <w:cantSplit/>
        </w:trPr>
        <w:tc>
          <w:tcPr>
            <w:tcW w:w="1768" w:type="dxa"/>
          </w:tcPr>
          <w:p w14:paraId="113FA407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SKS02 → SKS03</w:t>
            </w:r>
          </w:p>
        </w:tc>
        <w:tc>
          <w:tcPr>
            <w:tcW w:w="810" w:type="dxa"/>
          </w:tcPr>
          <w:p w14:paraId="51845883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w="1547" w:type="dxa"/>
          </w:tcPr>
          <w:p w14:paraId="5D448DBA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−0.055</w:t>
            </w:r>
          </w:p>
        </w:tc>
        <w:tc>
          <w:tcPr>
            <w:tcW w:w="1621" w:type="dxa"/>
          </w:tcPr>
          <w:p w14:paraId="29FE073E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+0.013</w:t>
            </w:r>
          </w:p>
        </w:tc>
        <w:tc>
          <w:tcPr>
            <w:tcW w:w="1621" w:type="dxa"/>
          </w:tcPr>
          <w:p w14:paraId="116893DE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+0.071</w:t>
            </w:r>
          </w:p>
        </w:tc>
        <w:tc>
          <w:tcPr>
            <w:tcW w:w="1993" w:type="dxa"/>
          </w:tcPr>
          <w:p w14:paraId="73FD63EB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1/5; 0/5</w:t>
            </w:r>
          </w:p>
        </w:tc>
      </w:tr>
      <w:tr w:rsidR="00CD4B0C" w:rsidRPr="009A7383" w14:paraId="28298AEC" w14:textId="77777777">
        <w:trPr>
          <w:cantSplit/>
        </w:trPr>
        <w:tc>
          <w:tcPr>
            <w:tcW w:w="1768" w:type="dxa"/>
          </w:tcPr>
          <w:p w14:paraId="21795627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SKS02 → SKS03</w:t>
            </w:r>
          </w:p>
        </w:tc>
        <w:tc>
          <w:tcPr>
            <w:tcW w:w="810" w:type="dxa"/>
          </w:tcPr>
          <w:p w14:paraId="46EAE3F2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w="1547" w:type="dxa"/>
          </w:tcPr>
          <w:p w14:paraId="3C378338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−0.086</w:t>
            </w:r>
          </w:p>
        </w:tc>
        <w:tc>
          <w:tcPr>
            <w:tcW w:w="1621" w:type="dxa"/>
          </w:tcPr>
          <w:p w14:paraId="38B1E00C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+0.014</w:t>
            </w:r>
          </w:p>
        </w:tc>
        <w:tc>
          <w:tcPr>
            <w:tcW w:w="1621" w:type="dxa"/>
          </w:tcPr>
          <w:p w14:paraId="1AED0AFF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+0.071</w:t>
            </w:r>
          </w:p>
        </w:tc>
        <w:tc>
          <w:tcPr>
            <w:tcW w:w="1993" w:type="dxa"/>
          </w:tcPr>
          <w:p w14:paraId="12CB9BED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0/5; 0/5</w:t>
            </w:r>
          </w:p>
        </w:tc>
      </w:tr>
      <w:tr w:rsidR="00CD4B0C" w:rsidRPr="009A7383" w14:paraId="4BECC201" w14:textId="77777777">
        <w:trPr>
          <w:cantSplit/>
        </w:trPr>
        <w:tc>
          <w:tcPr>
            <w:tcW w:w="1768" w:type="dxa"/>
          </w:tcPr>
          <w:p w14:paraId="5CC33F92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SKS02 → SKS03</w:t>
            </w:r>
          </w:p>
        </w:tc>
        <w:tc>
          <w:tcPr>
            <w:tcW w:w="810" w:type="dxa"/>
          </w:tcPr>
          <w:p w14:paraId="496ABAF3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1547" w:type="dxa"/>
          </w:tcPr>
          <w:p w14:paraId="1E92E03C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−0.0005</w:t>
            </w:r>
          </w:p>
        </w:tc>
        <w:tc>
          <w:tcPr>
            <w:tcW w:w="1621" w:type="dxa"/>
          </w:tcPr>
          <w:p w14:paraId="03B11D1E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+0.016</w:t>
            </w:r>
          </w:p>
        </w:tc>
        <w:tc>
          <w:tcPr>
            <w:tcW w:w="1621" w:type="dxa"/>
          </w:tcPr>
          <w:p w14:paraId="3CB6A7AB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+0.071</w:t>
            </w:r>
          </w:p>
        </w:tc>
        <w:tc>
          <w:tcPr>
            <w:tcW w:w="1993" w:type="dxa"/>
          </w:tcPr>
          <w:p w14:paraId="464B258F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1/5; 1/5</w:t>
            </w:r>
          </w:p>
        </w:tc>
      </w:tr>
      <w:tr w:rsidR="00CD4B0C" w:rsidRPr="009A7383" w14:paraId="70ECA163" w14:textId="77777777">
        <w:trPr>
          <w:cantSplit/>
        </w:trPr>
        <w:tc>
          <w:tcPr>
            <w:tcW w:w="1768" w:type="dxa"/>
          </w:tcPr>
          <w:p w14:paraId="54DB7F26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SKS03 → SKS02</w:t>
            </w:r>
          </w:p>
        </w:tc>
        <w:tc>
          <w:tcPr>
            <w:tcW w:w="810" w:type="dxa"/>
          </w:tcPr>
          <w:p w14:paraId="03A9A608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w="1547" w:type="dxa"/>
          </w:tcPr>
          <w:p w14:paraId="1E53307D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+0.023</w:t>
            </w:r>
          </w:p>
        </w:tc>
        <w:tc>
          <w:tcPr>
            <w:tcW w:w="1621" w:type="dxa"/>
          </w:tcPr>
          <w:p w14:paraId="7877EBFF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−0.112</w:t>
            </w:r>
          </w:p>
        </w:tc>
        <w:tc>
          <w:tcPr>
            <w:tcW w:w="1621" w:type="dxa"/>
          </w:tcPr>
          <w:p w14:paraId="2BA58582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+0.214</w:t>
            </w:r>
          </w:p>
        </w:tc>
        <w:tc>
          <w:tcPr>
            <w:tcW w:w="1993" w:type="dxa"/>
          </w:tcPr>
          <w:p w14:paraId="07FF870D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5/6; 0/6</w:t>
            </w:r>
          </w:p>
        </w:tc>
      </w:tr>
      <w:tr w:rsidR="00CD4B0C" w:rsidRPr="009A7383" w14:paraId="57042FCB" w14:textId="77777777">
        <w:trPr>
          <w:cantSplit/>
        </w:trPr>
        <w:tc>
          <w:tcPr>
            <w:tcW w:w="1768" w:type="dxa"/>
          </w:tcPr>
          <w:p w14:paraId="40F83E7D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SKS03 → SKS02</w:t>
            </w:r>
          </w:p>
        </w:tc>
        <w:tc>
          <w:tcPr>
            <w:tcW w:w="810" w:type="dxa"/>
          </w:tcPr>
          <w:p w14:paraId="0E820E11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w="1547" w:type="dxa"/>
          </w:tcPr>
          <w:p w14:paraId="2E624EAF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−0.006</w:t>
            </w:r>
          </w:p>
        </w:tc>
        <w:tc>
          <w:tcPr>
            <w:tcW w:w="1621" w:type="dxa"/>
          </w:tcPr>
          <w:p w14:paraId="0C71655F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+0.030</w:t>
            </w:r>
          </w:p>
        </w:tc>
        <w:tc>
          <w:tcPr>
            <w:tcW w:w="1621" w:type="dxa"/>
          </w:tcPr>
          <w:p w14:paraId="754AA029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+0.143</w:t>
            </w:r>
          </w:p>
        </w:tc>
        <w:tc>
          <w:tcPr>
            <w:tcW w:w="1993" w:type="dxa"/>
          </w:tcPr>
          <w:p w14:paraId="4AEF3D01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1/6; 0/6</w:t>
            </w:r>
          </w:p>
        </w:tc>
      </w:tr>
      <w:tr w:rsidR="00CD4B0C" w:rsidRPr="009A7383" w14:paraId="01620BE9" w14:textId="77777777">
        <w:trPr>
          <w:cantSplit/>
        </w:trPr>
        <w:tc>
          <w:tcPr>
            <w:tcW w:w="1768" w:type="dxa"/>
          </w:tcPr>
          <w:p w14:paraId="56AA762E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SKS03 → SKS02</w:t>
            </w:r>
          </w:p>
        </w:tc>
        <w:tc>
          <w:tcPr>
            <w:tcW w:w="810" w:type="dxa"/>
          </w:tcPr>
          <w:p w14:paraId="6484B114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w="1547" w:type="dxa"/>
          </w:tcPr>
          <w:p w14:paraId="518A3B75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−0.053</w:t>
            </w:r>
          </w:p>
        </w:tc>
        <w:tc>
          <w:tcPr>
            <w:tcW w:w="1621" w:type="dxa"/>
          </w:tcPr>
          <w:p w14:paraId="3F17E69F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−0.319</w:t>
            </w:r>
          </w:p>
        </w:tc>
        <w:tc>
          <w:tcPr>
            <w:tcW w:w="1621" w:type="dxa"/>
          </w:tcPr>
          <w:p w14:paraId="12F749EA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−0.357</w:t>
            </w:r>
          </w:p>
        </w:tc>
        <w:tc>
          <w:tcPr>
            <w:tcW w:w="1993" w:type="dxa"/>
          </w:tcPr>
          <w:p w14:paraId="33DB5BEB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6/6; 6/6</w:t>
            </w:r>
          </w:p>
        </w:tc>
      </w:tr>
      <w:tr w:rsidR="00CD4B0C" w:rsidRPr="009A7383" w14:paraId="456F98CA" w14:textId="77777777">
        <w:trPr>
          <w:cantSplit/>
        </w:trPr>
        <w:tc>
          <w:tcPr>
            <w:tcW w:w="1768" w:type="dxa"/>
          </w:tcPr>
          <w:p w14:paraId="296F8C57" w14:textId="77777777" w:rsidR="00CD4B0C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SKS03 → SKS02</w:t>
            </w:r>
          </w:p>
        </w:tc>
        <w:tc>
          <w:tcPr>
            <w:tcW w:w="810" w:type="dxa"/>
          </w:tcPr>
          <w:p w14:paraId="37679CE8" w14:textId="77777777" w:rsidR="00CD4B0C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1547" w:type="dxa"/>
          </w:tcPr>
          <w:p w14:paraId="1CFB3136" w14:textId="77777777" w:rsidR="00CD4B0C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+0.0000</w:t>
            </w:r>
          </w:p>
        </w:tc>
        <w:tc>
          <w:tcPr>
            <w:tcW w:w="1621" w:type="dxa"/>
          </w:tcPr>
          <w:p w14:paraId="6B9B93F8" w14:textId="77777777" w:rsidR="00CD4B0C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+0.000</w:t>
            </w:r>
          </w:p>
        </w:tc>
        <w:tc>
          <w:tcPr>
            <w:tcW w:w="1621" w:type="dxa"/>
          </w:tcPr>
          <w:p w14:paraId="4A888981" w14:textId="77777777" w:rsidR="00CD4B0C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+0.000</w:t>
            </w:r>
          </w:p>
        </w:tc>
        <w:tc>
          <w:tcPr>
            <w:tcW w:w="1993" w:type="dxa"/>
          </w:tcPr>
          <w:p w14:paraId="730FEFCE" w14:textId="77777777" w:rsidR="00CD4B0C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0/6; 0/6</w:t>
            </w:r>
          </w:p>
        </w:tc>
      </w:tr>
    </w:tbl>
    <w:p w14:paraId="65454709" w14:textId="77777777" w:rsidR="00C03B1E" w:rsidRDefault="00000000">
      <w:r>
        <w:rPr>
          <w:rFonts w:ascii="Times New Roman" w:hAnsi="Times New Roman"/>
          <w:sz w:val="20"/>
        </w:rPr>
        <w:t>Source: Sinha et al. (2020a, b). Candidate-minus-uniform differences are paired within earthquake; added budget b excludes the fixed upper station.</w:t>
      </w:r>
    </w:p>
    <w:p w14:paraId="2DC31351" w14:textId="77777777" w:rsidR="00C03B1E" w:rsidRDefault="00000000">
      <w:r>
        <w:rPr>
          <w:rFonts w:ascii="Times New Roman" w:hAnsi="Times New Roman"/>
          <w:b/>
          <w:sz w:val="20"/>
        </w:rPr>
        <w:t>Digital field-reference protocol</w:t>
      </w:r>
    </w:p>
    <w:p w14:paraId="2FC8C53F" w14:textId="77777777" w:rsidR="00C03B1E" w:rsidRDefault="00000000" w:rsidP="00D43FEC">
      <w:pPr>
        <w:jc w:val="both"/>
      </w:pPr>
      <w:r>
        <w:rPr>
          <w:rFonts w:ascii="Times New Roman" w:hAnsi="Times New Roman"/>
          <w:sz w:val="20"/>
        </w:rPr>
        <w:t>A further digital check uses five Delft screw-injection piles: F1, F2, T1, T2 and T3 (Duffy et al. 2024, 2025). The 470-mm screw-tip diameter and pile lengths of 19.2–20.8 m accompany a layered deposit with a deep sand bearing layer. Fundex casings were removed; Tubex casings remained. F3 is excluded following source-reported casing-extraction problems. The source converts distributed fibre-optic strain to force using its stiffness interpretation; these processed curves are not a new strain-to-force calibration.</w:t>
      </w:r>
    </w:p>
    <w:p w14:paraId="4443CBEA" w14:textId="77777777" w:rsidR="00C03B1E" w:rsidRDefault="00000000" w:rsidP="00D43FEC">
      <w:pPr>
        <w:jc w:val="both"/>
      </w:pPr>
      <w:r>
        <w:rPr>
          <w:rFonts w:ascii="Times New Roman" w:hAnsi="Times New Roman"/>
          <w:sz w:val="20"/>
        </w:rPr>
        <w:lastRenderedPageBreak/>
        <w:t>Delft profiles are taken from the last complete record within each numbered loading stage, excluding 45 s at each stage boundary. The 53 selected profiles are evaluated on 0.20-m reference grids, with 0.40 m as a sensitivity, because the instrument resolution is 0.20 m although source processing interpolates at 0.01 m. The separate head-load coordinate and recorded gaps are retained. Exact source indices divided by seven define the frozen requested depths; nearest-level mapping and Eq. (11) are unchanged. Paired stage differences are summarised by their median within each pile, then equally across five piles. Original and boundary-constrained layouts, linear/PCHIP reconstruction and distance-weighted error are all retained; no external result selects a protocol.</w:t>
      </w:r>
    </w:p>
    <w:p w14:paraId="77F2BB87" w14:textId="77777777" w:rsidR="00C03B1E" w:rsidRDefault="00000000" w:rsidP="00D43FEC">
      <w:pPr>
        <w:jc w:val="both"/>
      </w:pPr>
      <w:r>
        <w:rPr>
          <w:rFonts w:ascii="Times New Roman" w:hAnsi="Times New Roman"/>
          <w:sz w:val="20"/>
        </w:rPr>
        <w:t>The coverage decomposition follows Eq. (14) in the main manuscript. It separates where reconstruction error occurs without identifying its mechanical cause.</w:t>
      </w:r>
    </w:p>
    <w:p w14:paraId="36111CFC" w14:textId="77777777" w:rsidR="00C03B1E" w:rsidRDefault="00000000" w:rsidP="00D43FEC">
      <w:pPr>
        <w:jc w:val="both"/>
      </w:pPr>
      <w:r>
        <w:rPr>
          <w:rFonts w:ascii="Times New Roman" w:hAnsi="Times New Roman"/>
          <w:sz w:val="20"/>
        </w:rPr>
        <w:t>The 53 stages comprise 12 each for F1 and F2, 15 for T1, eight for T2 and six for T3. Source file hashes, selected timestamps and complete-stage eligibility are supplied. F3 is excluded by source quality, not by reconstruction performance. All comparisons use frozen source layouts. The 0.01-m source grid is interpolated and does not represent independent observations at that spacing.</w:t>
      </w:r>
    </w:p>
    <w:p w14:paraId="4991BB99" w14:textId="77777777" w:rsidR="00C03B1E" w:rsidRDefault="00000000">
      <w:pPr>
        <w:keepNext/>
        <w:spacing w:before="120"/>
      </w:pPr>
      <w:r>
        <w:rPr>
          <w:rFonts w:ascii="Times New Roman" w:hAnsi="Times New Roman"/>
          <w:b/>
          <w:sz w:val="20"/>
        </w:rPr>
        <w:t>Table S3. Delft pile-level median paired NRMSE differences: primary linear, original-layout, 0.20-m-grid protocol</w:t>
      </w:r>
    </w:p>
    <w:tbl>
      <w:tblPr>
        <w:tblW w:w="9360" w:type="dxa"/>
        <w:tblInd w:w="120" w:type="dxa"/>
        <w:tblBorders>
          <w:top w:val="single" w:sz="6" w:space="0" w:color="auto"/>
          <w:left w:val="nil"/>
          <w:bottom w:val="single" w:sz="6" w:space="0" w:color="auto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 w:rsidR="00C03B1E" w14:paraId="7AB7CB88" w14:textId="77777777">
        <w:trPr>
          <w:tblHeader/>
        </w:trPr>
        <w:tc>
          <w:tcPr>
            <w:tcW w:w="1337" w:type="dxa"/>
            <w:tcBorders>
              <w:bottom w:val="single" w:sz="6" w:space="0" w:color="auto"/>
            </w:tcBorders>
          </w:tcPr>
          <w:p w14:paraId="76D6C46E" w14:textId="77777777" w:rsidR="00C03B1E" w:rsidRDefault="00000000">
            <w:pPr>
              <w:keepNext/>
            </w:pPr>
            <w:r>
              <w:rPr>
                <w:rFonts w:ascii="Times New Roman" w:hAnsi="Times New Roman"/>
                <w:b/>
                <w:sz w:val="20"/>
              </w:rPr>
              <w:t>Source</w:t>
            </w:r>
          </w:p>
        </w:tc>
        <w:tc>
          <w:tcPr>
            <w:tcW w:w="1337" w:type="dxa"/>
            <w:tcBorders>
              <w:bottom w:val="single" w:sz="6" w:space="0" w:color="auto"/>
            </w:tcBorders>
          </w:tcPr>
          <w:p w14:paraId="283AA6B9" w14:textId="77777777" w:rsidR="00C03B1E" w:rsidRDefault="00000000">
            <w:pPr>
              <w:keepNext/>
            </w:pPr>
            <w:r>
              <w:rPr>
                <w:rFonts w:ascii="Times New Roman" w:hAnsi="Times New Roman"/>
                <w:b/>
                <w:sz w:val="20"/>
              </w:rPr>
              <w:t>Added b</w:t>
            </w:r>
          </w:p>
        </w:tc>
        <w:tc>
          <w:tcPr>
            <w:tcW w:w="1337" w:type="dxa"/>
            <w:tcBorders>
              <w:bottom w:val="single" w:sz="6" w:space="0" w:color="auto"/>
            </w:tcBorders>
          </w:tcPr>
          <w:p w14:paraId="6D1ADD4C" w14:textId="77777777" w:rsidR="00C03B1E" w:rsidRDefault="00000000">
            <w:pPr>
              <w:keepNext/>
            </w:pPr>
            <w:r>
              <w:rPr>
                <w:rFonts w:ascii="Times New Roman" w:hAnsi="Times New Roman"/>
                <w:b/>
                <w:sz w:val="20"/>
              </w:rPr>
              <w:t>F1</w:t>
            </w:r>
          </w:p>
        </w:tc>
        <w:tc>
          <w:tcPr>
            <w:tcW w:w="1337" w:type="dxa"/>
            <w:tcBorders>
              <w:bottom w:val="single" w:sz="6" w:space="0" w:color="auto"/>
            </w:tcBorders>
          </w:tcPr>
          <w:p w14:paraId="3AA8A180" w14:textId="77777777" w:rsidR="00C03B1E" w:rsidRDefault="00000000">
            <w:pPr>
              <w:keepNext/>
            </w:pPr>
            <w:r>
              <w:rPr>
                <w:rFonts w:ascii="Times New Roman" w:hAnsi="Times New Roman"/>
                <w:b/>
                <w:sz w:val="20"/>
              </w:rPr>
              <w:t>F2</w:t>
            </w:r>
          </w:p>
        </w:tc>
        <w:tc>
          <w:tcPr>
            <w:tcW w:w="1337" w:type="dxa"/>
            <w:tcBorders>
              <w:bottom w:val="single" w:sz="6" w:space="0" w:color="auto"/>
            </w:tcBorders>
          </w:tcPr>
          <w:p w14:paraId="72486CC3" w14:textId="77777777" w:rsidR="00C03B1E" w:rsidRDefault="00000000">
            <w:pPr>
              <w:keepNext/>
            </w:pPr>
            <w:r>
              <w:rPr>
                <w:rFonts w:ascii="Times New Roman" w:hAnsi="Times New Roman"/>
                <w:b/>
                <w:sz w:val="20"/>
              </w:rPr>
              <w:t>T1</w:t>
            </w:r>
          </w:p>
        </w:tc>
        <w:tc>
          <w:tcPr>
            <w:tcW w:w="1337" w:type="dxa"/>
            <w:tcBorders>
              <w:bottom w:val="single" w:sz="6" w:space="0" w:color="auto"/>
            </w:tcBorders>
          </w:tcPr>
          <w:p w14:paraId="5F8156B2" w14:textId="77777777" w:rsidR="00C03B1E" w:rsidRDefault="00000000">
            <w:pPr>
              <w:keepNext/>
            </w:pPr>
            <w:r>
              <w:rPr>
                <w:rFonts w:ascii="Times New Roman" w:hAnsi="Times New Roman"/>
                <w:b/>
                <w:sz w:val="20"/>
              </w:rPr>
              <w:t>T2</w:t>
            </w:r>
          </w:p>
        </w:tc>
        <w:tc>
          <w:tcPr>
            <w:tcW w:w="1338" w:type="dxa"/>
            <w:tcBorders>
              <w:bottom w:val="single" w:sz="6" w:space="0" w:color="auto"/>
            </w:tcBorders>
          </w:tcPr>
          <w:p w14:paraId="7FE7CD31" w14:textId="77777777" w:rsidR="00C03B1E" w:rsidRDefault="00000000">
            <w:pPr>
              <w:keepNext/>
            </w:pPr>
            <w:r>
              <w:rPr>
                <w:rFonts w:ascii="Times New Roman" w:hAnsi="Times New Roman"/>
                <w:b/>
                <w:sz w:val="20"/>
              </w:rPr>
              <w:t>T3</w:t>
            </w:r>
          </w:p>
        </w:tc>
      </w:tr>
      <w:tr w:rsidR="00C03B1E" w14:paraId="6373E3B8" w14:textId="77777777">
        <w:tc>
          <w:tcPr>
            <w:tcW w:w="1337" w:type="dxa"/>
          </w:tcPr>
          <w:p w14:paraId="78080E9F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SKS02</w:t>
            </w:r>
          </w:p>
        </w:tc>
        <w:tc>
          <w:tcPr>
            <w:tcW w:w="1337" w:type="dxa"/>
          </w:tcPr>
          <w:p w14:paraId="6825F174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w="1337" w:type="dxa"/>
          </w:tcPr>
          <w:p w14:paraId="12ACED8C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+0.143</w:t>
            </w:r>
          </w:p>
        </w:tc>
        <w:tc>
          <w:tcPr>
            <w:tcW w:w="1337" w:type="dxa"/>
          </w:tcPr>
          <w:p w14:paraId="0F21D7BF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+0.154</w:t>
            </w:r>
          </w:p>
        </w:tc>
        <w:tc>
          <w:tcPr>
            <w:tcW w:w="1337" w:type="dxa"/>
          </w:tcPr>
          <w:p w14:paraId="205E8398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+0.111</w:t>
            </w:r>
          </w:p>
        </w:tc>
        <w:tc>
          <w:tcPr>
            <w:tcW w:w="1337" w:type="dxa"/>
          </w:tcPr>
          <w:p w14:paraId="64EB2373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+0.197</w:t>
            </w:r>
          </w:p>
        </w:tc>
        <w:tc>
          <w:tcPr>
            <w:tcW w:w="1338" w:type="dxa"/>
          </w:tcPr>
          <w:p w14:paraId="2BBBECB0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+0.164</w:t>
            </w:r>
          </w:p>
        </w:tc>
      </w:tr>
      <w:tr w:rsidR="00C03B1E" w14:paraId="756CCED9" w14:textId="77777777">
        <w:tc>
          <w:tcPr>
            <w:tcW w:w="1337" w:type="dxa"/>
          </w:tcPr>
          <w:p w14:paraId="6FF3E421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SKS02</w:t>
            </w:r>
          </w:p>
        </w:tc>
        <w:tc>
          <w:tcPr>
            <w:tcW w:w="1337" w:type="dxa"/>
          </w:tcPr>
          <w:p w14:paraId="7A83C178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w="1337" w:type="dxa"/>
          </w:tcPr>
          <w:p w14:paraId="2BA1FF9F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+0.018</w:t>
            </w:r>
          </w:p>
        </w:tc>
        <w:tc>
          <w:tcPr>
            <w:tcW w:w="1337" w:type="dxa"/>
          </w:tcPr>
          <w:p w14:paraId="00D84750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+0.003</w:t>
            </w:r>
          </w:p>
        </w:tc>
        <w:tc>
          <w:tcPr>
            <w:tcW w:w="1337" w:type="dxa"/>
          </w:tcPr>
          <w:p w14:paraId="043485A8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+0.035</w:t>
            </w:r>
          </w:p>
        </w:tc>
        <w:tc>
          <w:tcPr>
            <w:tcW w:w="1337" w:type="dxa"/>
          </w:tcPr>
          <w:p w14:paraId="6DF83D58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+0.031</w:t>
            </w:r>
          </w:p>
        </w:tc>
        <w:tc>
          <w:tcPr>
            <w:tcW w:w="1338" w:type="dxa"/>
          </w:tcPr>
          <w:p w14:paraId="675650F6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+0.018</w:t>
            </w:r>
          </w:p>
        </w:tc>
      </w:tr>
      <w:tr w:rsidR="00C03B1E" w14:paraId="7E3B02DF" w14:textId="77777777">
        <w:tc>
          <w:tcPr>
            <w:tcW w:w="1337" w:type="dxa"/>
          </w:tcPr>
          <w:p w14:paraId="6A4840BB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SKS02</w:t>
            </w:r>
          </w:p>
        </w:tc>
        <w:tc>
          <w:tcPr>
            <w:tcW w:w="1337" w:type="dxa"/>
          </w:tcPr>
          <w:p w14:paraId="70E84755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w="1337" w:type="dxa"/>
          </w:tcPr>
          <w:p w14:paraId="1A057C52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+0.002</w:t>
            </w:r>
          </w:p>
        </w:tc>
        <w:tc>
          <w:tcPr>
            <w:tcW w:w="1337" w:type="dxa"/>
          </w:tcPr>
          <w:p w14:paraId="5F7F13C1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-0.014</w:t>
            </w:r>
          </w:p>
        </w:tc>
        <w:tc>
          <w:tcPr>
            <w:tcW w:w="1337" w:type="dxa"/>
          </w:tcPr>
          <w:p w14:paraId="2925B545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-0.005</w:t>
            </w:r>
          </w:p>
        </w:tc>
        <w:tc>
          <w:tcPr>
            <w:tcW w:w="1337" w:type="dxa"/>
          </w:tcPr>
          <w:p w14:paraId="26A7EFF6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+0.005</w:t>
            </w:r>
          </w:p>
        </w:tc>
        <w:tc>
          <w:tcPr>
            <w:tcW w:w="1338" w:type="dxa"/>
          </w:tcPr>
          <w:p w14:paraId="13AD6652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+0.015</w:t>
            </w:r>
          </w:p>
        </w:tc>
      </w:tr>
      <w:tr w:rsidR="00C03B1E" w14:paraId="1A238159" w14:textId="77777777">
        <w:tc>
          <w:tcPr>
            <w:tcW w:w="1337" w:type="dxa"/>
          </w:tcPr>
          <w:p w14:paraId="38EA0FDC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SKS03</w:t>
            </w:r>
          </w:p>
        </w:tc>
        <w:tc>
          <w:tcPr>
            <w:tcW w:w="1337" w:type="dxa"/>
          </w:tcPr>
          <w:p w14:paraId="066F45AA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w="1337" w:type="dxa"/>
          </w:tcPr>
          <w:p w14:paraId="75D03CF5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+0.018</w:t>
            </w:r>
          </w:p>
        </w:tc>
        <w:tc>
          <w:tcPr>
            <w:tcW w:w="1337" w:type="dxa"/>
          </w:tcPr>
          <w:p w14:paraId="50BF77AB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+0.005</w:t>
            </w:r>
          </w:p>
        </w:tc>
        <w:tc>
          <w:tcPr>
            <w:tcW w:w="1337" w:type="dxa"/>
          </w:tcPr>
          <w:p w14:paraId="5C5EADEA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+0.021</w:t>
            </w:r>
          </w:p>
        </w:tc>
        <w:tc>
          <w:tcPr>
            <w:tcW w:w="1337" w:type="dxa"/>
          </w:tcPr>
          <w:p w14:paraId="3742DF32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+0.083</w:t>
            </w:r>
          </w:p>
        </w:tc>
        <w:tc>
          <w:tcPr>
            <w:tcW w:w="1338" w:type="dxa"/>
          </w:tcPr>
          <w:p w14:paraId="1B795E4D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+0.031</w:t>
            </w:r>
          </w:p>
        </w:tc>
      </w:tr>
      <w:tr w:rsidR="00C03B1E" w14:paraId="27D98B61" w14:textId="77777777">
        <w:tc>
          <w:tcPr>
            <w:tcW w:w="1337" w:type="dxa"/>
          </w:tcPr>
          <w:p w14:paraId="5F25F0D9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SKS03</w:t>
            </w:r>
          </w:p>
        </w:tc>
        <w:tc>
          <w:tcPr>
            <w:tcW w:w="1337" w:type="dxa"/>
          </w:tcPr>
          <w:p w14:paraId="4D95938A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w="1337" w:type="dxa"/>
          </w:tcPr>
          <w:p w14:paraId="7E4A05BF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+0.002</w:t>
            </w:r>
          </w:p>
        </w:tc>
        <w:tc>
          <w:tcPr>
            <w:tcW w:w="1337" w:type="dxa"/>
          </w:tcPr>
          <w:p w14:paraId="78CB70D0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-0.002</w:t>
            </w:r>
          </w:p>
        </w:tc>
        <w:tc>
          <w:tcPr>
            <w:tcW w:w="1337" w:type="dxa"/>
          </w:tcPr>
          <w:p w14:paraId="2FB3C24A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+0.052</w:t>
            </w:r>
          </w:p>
        </w:tc>
        <w:tc>
          <w:tcPr>
            <w:tcW w:w="1337" w:type="dxa"/>
          </w:tcPr>
          <w:p w14:paraId="1E316BEC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+0.024</w:t>
            </w:r>
          </w:p>
        </w:tc>
        <w:tc>
          <w:tcPr>
            <w:tcW w:w="1338" w:type="dxa"/>
          </w:tcPr>
          <w:p w14:paraId="69060ACF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+0.006</w:t>
            </w:r>
          </w:p>
        </w:tc>
      </w:tr>
      <w:tr w:rsidR="00C03B1E" w14:paraId="37433BD1" w14:textId="77777777">
        <w:tc>
          <w:tcPr>
            <w:tcW w:w="1337" w:type="dxa"/>
          </w:tcPr>
          <w:p w14:paraId="5FC4DC75" w14:textId="77777777" w:rsidR="00C03B1E" w:rsidRDefault="00000000">
            <w:r>
              <w:rPr>
                <w:rFonts w:ascii="Times New Roman" w:hAnsi="Times New Roman"/>
                <w:sz w:val="20"/>
              </w:rPr>
              <w:t>SKS03</w:t>
            </w:r>
          </w:p>
        </w:tc>
        <w:tc>
          <w:tcPr>
            <w:tcW w:w="1337" w:type="dxa"/>
          </w:tcPr>
          <w:p w14:paraId="1E4A54A4" w14:textId="77777777" w:rsidR="00C03B1E" w:rsidRDefault="00000000"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w="1337" w:type="dxa"/>
          </w:tcPr>
          <w:p w14:paraId="249DCCC7" w14:textId="77777777" w:rsidR="00C03B1E" w:rsidRDefault="00000000">
            <w:r>
              <w:rPr>
                <w:rFonts w:ascii="Times New Roman" w:hAnsi="Times New Roman"/>
                <w:sz w:val="20"/>
              </w:rPr>
              <w:t>-0.013</w:t>
            </w:r>
          </w:p>
        </w:tc>
        <w:tc>
          <w:tcPr>
            <w:tcW w:w="1337" w:type="dxa"/>
          </w:tcPr>
          <w:p w14:paraId="54C5C6C8" w14:textId="77777777" w:rsidR="00C03B1E" w:rsidRDefault="00000000">
            <w:r>
              <w:rPr>
                <w:rFonts w:ascii="Times New Roman" w:hAnsi="Times New Roman"/>
                <w:sz w:val="20"/>
              </w:rPr>
              <w:t>-0.015</w:t>
            </w:r>
          </w:p>
        </w:tc>
        <w:tc>
          <w:tcPr>
            <w:tcW w:w="1337" w:type="dxa"/>
          </w:tcPr>
          <w:p w14:paraId="4267D45A" w14:textId="77777777" w:rsidR="00C03B1E" w:rsidRDefault="00000000">
            <w:r>
              <w:rPr>
                <w:rFonts w:ascii="Times New Roman" w:hAnsi="Times New Roman"/>
                <w:sz w:val="20"/>
              </w:rPr>
              <w:t>-0.028</w:t>
            </w:r>
          </w:p>
        </w:tc>
        <w:tc>
          <w:tcPr>
            <w:tcW w:w="1337" w:type="dxa"/>
          </w:tcPr>
          <w:p w14:paraId="244A578A" w14:textId="77777777" w:rsidR="00C03B1E" w:rsidRDefault="00000000">
            <w:r>
              <w:rPr>
                <w:rFonts w:ascii="Times New Roman" w:hAnsi="Times New Roman"/>
                <w:sz w:val="20"/>
              </w:rPr>
              <w:t>+0.003</w:t>
            </w:r>
          </w:p>
        </w:tc>
        <w:tc>
          <w:tcPr>
            <w:tcW w:w="1338" w:type="dxa"/>
          </w:tcPr>
          <w:p w14:paraId="530D109D" w14:textId="77777777" w:rsidR="00C03B1E" w:rsidRDefault="00000000">
            <w:r>
              <w:rPr>
                <w:rFonts w:ascii="Times New Roman" w:hAnsi="Times New Roman"/>
                <w:sz w:val="20"/>
              </w:rPr>
              <w:t>+0.007</w:t>
            </w:r>
          </w:p>
        </w:tc>
      </w:tr>
    </w:tbl>
    <w:p w14:paraId="295A802B" w14:textId="77777777" w:rsidR="00C03B1E" w:rsidRDefault="00000000" w:rsidP="00D43FEC">
      <w:pPr>
        <w:jc w:val="both"/>
      </w:pPr>
      <w:r>
        <w:rPr>
          <w:rFonts w:ascii="Times New Roman" w:hAnsi="Times New Roman"/>
          <w:sz w:val="20"/>
        </w:rPr>
        <w:t>Source: Duffy et al. (2025), with frozen layouts from Sinha et al. (2020a, b). Negative differences favour the candidate; ±0.005 is the stated equivalence tolerance. Five piles belong to one site; stages are repeated measurements. All other protocols and distance-weighted results are supplied as CSV files.</w:t>
      </w:r>
    </w:p>
    <w:p w14:paraId="0FF3B0CA" w14:textId="77777777" w:rsidR="00C03B1E" w:rsidRDefault="00000000">
      <w:pPr>
        <w:keepNext/>
        <w:spacing w:before="120"/>
      </w:pPr>
      <w:r>
        <w:rPr>
          <w:rFonts w:ascii="Times New Roman" w:hAnsi="Times New Roman"/>
          <w:b/>
          <w:sz w:val="20"/>
        </w:rPr>
        <w:lastRenderedPageBreak/>
        <w:t>Table S4. Graphical-resolution stress scenarios for 24 published-profile comparisons</w:t>
      </w:r>
    </w:p>
    <w:tbl>
      <w:tblPr>
        <w:tblW w:w="9360" w:type="dxa"/>
        <w:tblInd w:w="120" w:type="dxa"/>
        <w:tblBorders>
          <w:top w:val="single" w:sz="6" w:space="0" w:color="auto"/>
          <w:left w:val="nil"/>
          <w:bottom w:val="single" w:sz="6" w:space="0" w:color="auto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C03B1E" w14:paraId="3D78EE8E" w14:textId="77777777">
        <w:trPr>
          <w:tblHeader/>
        </w:trPr>
        <w:tc>
          <w:tcPr>
            <w:tcW w:w="2340" w:type="dxa"/>
            <w:tcBorders>
              <w:bottom w:val="single" w:sz="6" w:space="0" w:color="auto"/>
            </w:tcBorders>
          </w:tcPr>
          <w:p w14:paraId="12D1ED95" w14:textId="77777777" w:rsidR="00C03B1E" w:rsidRDefault="00000000">
            <w:pPr>
              <w:keepNext/>
            </w:pPr>
            <w:r>
              <w:rPr>
                <w:rFonts w:ascii="Times New Roman" w:hAnsi="Times New Roman"/>
                <w:b/>
                <w:sz w:val="20"/>
              </w:rPr>
              <w:t>Pixels</w:t>
            </w:r>
          </w:p>
        </w:tc>
        <w:tc>
          <w:tcPr>
            <w:tcW w:w="2340" w:type="dxa"/>
            <w:tcBorders>
              <w:bottom w:val="single" w:sz="6" w:space="0" w:color="auto"/>
            </w:tcBorders>
          </w:tcPr>
          <w:p w14:paraId="1A942973" w14:textId="77777777" w:rsidR="00C03B1E" w:rsidRDefault="00000000">
            <w:pPr>
              <w:keepNext/>
            </w:pPr>
            <w:r>
              <w:rPr>
                <w:rFonts w:ascii="Times New Roman" w:hAnsi="Times New Roman"/>
                <w:b/>
                <w:sz w:val="20"/>
              </w:rPr>
              <w:t>Draws per comparison</w:t>
            </w:r>
          </w:p>
        </w:tc>
        <w:tc>
          <w:tcPr>
            <w:tcW w:w="2340" w:type="dxa"/>
            <w:tcBorders>
              <w:bottom w:val="single" w:sz="6" w:space="0" w:color="auto"/>
            </w:tcBorders>
          </w:tcPr>
          <w:p w14:paraId="4106DCB8" w14:textId="77777777" w:rsidR="00C03B1E" w:rsidRDefault="00000000">
            <w:pPr>
              <w:keepNext/>
            </w:pPr>
            <w:r>
              <w:rPr>
                <w:rFonts w:ascii="Times New Roman" w:hAnsi="Times New Roman"/>
                <w:b/>
                <w:sz w:val="20"/>
              </w:rPr>
              <w:t>Classes unchanged in all draws</w:t>
            </w:r>
          </w:p>
        </w:tc>
        <w:tc>
          <w:tcPr>
            <w:tcW w:w="2340" w:type="dxa"/>
            <w:tcBorders>
              <w:bottom w:val="single" w:sz="6" w:space="0" w:color="auto"/>
            </w:tcBorders>
          </w:tcPr>
          <w:p w14:paraId="3F4E64AC" w14:textId="77777777" w:rsidR="00C03B1E" w:rsidRDefault="00000000">
            <w:pPr>
              <w:keepNext/>
            </w:pPr>
            <w:r>
              <w:rPr>
                <w:rFonts w:ascii="Times New Roman" w:hAnsi="Times New Roman"/>
                <w:b/>
                <w:sz w:val="20"/>
              </w:rPr>
              <w:t>Median of comparison-wise minima</w:t>
            </w:r>
          </w:p>
        </w:tc>
      </w:tr>
      <w:tr w:rsidR="00C03B1E" w14:paraId="766AFA0C" w14:textId="77777777">
        <w:tc>
          <w:tcPr>
            <w:tcW w:w="2340" w:type="dxa"/>
          </w:tcPr>
          <w:p w14:paraId="63648FC8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2340" w:type="dxa"/>
          </w:tcPr>
          <w:p w14:paraId="23ECCF76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2,000</w:t>
            </w:r>
          </w:p>
        </w:tc>
        <w:tc>
          <w:tcPr>
            <w:tcW w:w="2340" w:type="dxa"/>
          </w:tcPr>
          <w:p w14:paraId="4EDFB99C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23/24</w:t>
            </w:r>
          </w:p>
        </w:tc>
        <w:tc>
          <w:tcPr>
            <w:tcW w:w="2340" w:type="dxa"/>
          </w:tcPr>
          <w:p w14:paraId="77E0640B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+0.021</w:t>
            </w:r>
          </w:p>
        </w:tc>
      </w:tr>
      <w:tr w:rsidR="00C03B1E" w14:paraId="0AA6E82B" w14:textId="77777777">
        <w:tc>
          <w:tcPr>
            <w:tcW w:w="2340" w:type="dxa"/>
          </w:tcPr>
          <w:p w14:paraId="01078889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w="2340" w:type="dxa"/>
          </w:tcPr>
          <w:p w14:paraId="190DB215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2,000</w:t>
            </w:r>
          </w:p>
        </w:tc>
        <w:tc>
          <w:tcPr>
            <w:tcW w:w="2340" w:type="dxa"/>
          </w:tcPr>
          <w:p w14:paraId="3D759FF4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19/24</w:t>
            </w:r>
          </w:p>
        </w:tc>
        <w:tc>
          <w:tcPr>
            <w:tcW w:w="2340" w:type="dxa"/>
          </w:tcPr>
          <w:p w14:paraId="64862E31" w14:textId="77777777" w:rsidR="00C03B1E" w:rsidRDefault="00000000">
            <w:pPr>
              <w:keepNext/>
            </w:pPr>
            <w:r>
              <w:rPr>
                <w:rFonts w:ascii="Times New Roman" w:hAnsi="Times New Roman"/>
                <w:sz w:val="20"/>
              </w:rPr>
              <w:t>+0.020</w:t>
            </w:r>
          </w:p>
        </w:tc>
      </w:tr>
      <w:tr w:rsidR="00C03B1E" w14:paraId="5C438C0C" w14:textId="77777777">
        <w:tc>
          <w:tcPr>
            <w:tcW w:w="2340" w:type="dxa"/>
          </w:tcPr>
          <w:p w14:paraId="40256F58" w14:textId="77777777" w:rsidR="00C03B1E" w:rsidRDefault="00000000"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w="2340" w:type="dxa"/>
          </w:tcPr>
          <w:p w14:paraId="772D65DF" w14:textId="77777777" w:rsidR="00C03B1E" w:rsidRDefault="00000000">
            <w:r>
              <w:rPr>
                <w:rFonts w:ascii="Times New Roman" w:hAnsi="Times New Roman"/>
                <w:sz w:val="20"/>
              </w:rPr>
              <w:t>2,000</w:t>
            </w:r>
          </w:p>
        </w:tc>
        <w:tc>
          <w:tcPr>
            <w:tcW w:w="2340" w:type="dxa"/>
          </w:tcPr>
          <w:p w14:paraId="23AA133A" w14:textId="77777777" w:rsidR="00C03B1E" w:rsidRDefault="00000000">
            <w:r>
              <w:rPr>
                <w:rFonts w:ascii="Times New Roman" w:hAnsi="Times New Roman"/>
                <w:sz w:val="20"/>
              </w:rPr>
              <w:t>17/24</w:t>
            </w:r>
          </w:p>
        </w:tc>
        <w:tc>
          <w:tcPr>
            <w:tcW w:w="2340" w:type="dxa"/>
          </w:tcPr>
          <w:p w14:paraId="4EB04B3F" w14:textId="77777777" w:rsidR="00C03B1E" w:rsidRDefault="00000000">
            <w:r>
              <w:rPr>
                <w:rFonts w:ascii="Times New Roman" w:hAnsi="Times New Roman"/>
                <w:sz w:val="20"/>
              </w:rPr>
              <w:t>+0.017</w:t>
            </w:r>
          </w:p>
        </w:tc>
      </w:tr>
    </w:tbl>
    <w:p w14:paraId="2660923C" w14:textId="77777777" w:rsidR="00C03B1E" w:rsidRDefault="00000000" w:rsidP="00D43FEC">
      <w:pPr>
        <w:jc w:val="both"/>
      </w:pPr>
      <w:r>
        <w:rPr>
          <w:rFonts w:ascii="Times New Roman" w:hAnsi="Times New Roman"/>
          <w:sz w:val="20"/>
        </w:rPr>
        <w:t>Source: digitised profiles from Kevan (2017) and FHWA (2017). Amplitudes are specified graphical-resolution scenarios, not confidence bounds. Turrell load bounds also include half the between-figure range; its published gauge depths remain fixed. Smooth FHWA perturbations use eleven depth anchors shared by candidate and comparator. Full scenario outputs include changed mappings and minimum/maximum paired errors.</w:t>
      </w:r>
    </w:p>
    <w:p w14:paraId="61D6D486" w14:textId="77777777" w:rsidR="00C03B1E" w:rsidRDefault="00000000">
      <w:pPr>
        <w:keepNext/>
        <w:spacing w:before="120"/>
      </w:pPr>
      <w:r>
        <w:rPr>
          <w:rFonts w:ascii="Times New Roman" w:hAnsi="Times New Roman"/>
          <w:b/>
          <w:sz w:val="20"/>
        </w:rPr>
        <w:t>Table S5. Independent published-profile consistency relative to equal-budget uniform placement</w:t>
      </w:r>
    </w:p>
    <w:tbl>
      <w:tblPr>
        <w:tblW w:w="9360" w:type="dxa"/>
        <w:jc w:val="center"/>
        <w:tblBorders>
          <w:top w:val="single" w:sz="6" w:space="0" w:color="auto"/>
          <w:left w:val="nil"/>
          <w:bottom w:val="single" w:sz="6" w:space="0" w:color="auto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1728"/>
        <w:gridCol w:w="504"/>
        <w:gridCol w:w="1224"/>
        <w:gridCol w:w="1080"/>
        <w:gridCol w:w="2736"/>
      </w:tblGrid>
      <w:tr w:rsidR="00CD4B0C" w:rsidRPr="009A7383" w14:paraId="3E8D8154" w14:textId="77777777">
        <w:trPr>
          <w:cantSplit/>
          <w:tblHeader/>
          <w:jc w:val="center"/>
        </w:trPr>
        <w:tc>
          <w:tcPr>
            <w:tcW w:w="2088" w:type="dxa"/>
            <w:tcBorders>
              <w:bottom w:val="single" w:sz="6" w:space="0" w:color="auto"/>
            </w:tcBorders>
            <w:vAlign w:val="center"/>
          </w:tcPr>
          <w:p w14:paraId="09A3F286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Evidence</w:t>
            </w:r>
          </w:p>
        </w:tc>
        <w:tc>
          <w:tcPr>
            <w:tcW w:w="1728" w:type="dxa"/>
            <w:tcBorders>
              <w:bottom w:val="single" w:sz="6" w:space="0" w:color="auto"/>
            </w:tcBorders>
            <w:vAlign w:val="center"/>
          </w:tcPr>
          <w:p w14:paraId="719BA9FC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Profiles</w:t>
            </w:r>
          </w:p>
        </w:tc>
        <w:tc>
          <w:tcPr>
            <w:tcW w:w="504" w:type="dxa"/>
            <w:tcBorders>
              <w:bottom w:val="single" w:sz="6" w:space="0" w:color="auto"/>
            </w:tcBorders>
            <w:vAlign w:val="center"/>
          </w:tcPr>
          <w:p w14:paraId="7BD5284C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w="1224" w:type="dxa"/>
            <w:tcBorders>
              <w:bottom w:val="single" w:sz="6" w:space="0" w:color="auto"/>
            </w:tcBorders>
            <w:vAlign w:val="center"/>
          </w:tcPr>
          <w:p w14:paraId="3B77E046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L / E / H</w:t>
            </w:r>
          </w:p>
        </w:tc>
        <w:tc>
          <w:tcPr>
            <w:tcW w:w="1080" w:type="dxa"/>
            <w:tcBorders>
              <w:bottom w:val="single" w:sz="6" w:space="0" w:color="auto"/>
            </w:tcBorders>
            <w:vAlign w:val="center"/>
          </w:tcPr>
          <w:p w14:paraId="00E3B03B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Median Δr</w:t>
            </w:r>
            <w:r>
              <w:rPr>
                <w:rFonts w:ascii="Times New Roman" w:hAnsi="Times New Roman"/>
                <w:b/>
                <w:sz w:val="20"/>
                <w:vertAlign w:val="superscript"/>
              </w:rPr>
              <w:t>(f)</w:t>
            </w:r>
          </w:p>
        </w:tc>
        <w:tc>
          <w:tcPr>
            <w:tcW w:w="2736" w:type="dxa"/>
            <w:tcBorders>
              <w:bottom w:val="single" w:sz="6" w:space="0" w:color="auto"/>
            </w:tcBorders>
            <w:vAlign w:val="center"/>
          </w:tcPr>
          <w:p w14:paraId="39EC6FE5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Inference role</w:t>
            </w:r>
          </w:p>
        </w:tc>
      </w:tr>
      <w:tr w:rsidR="00CD4B0C" w:rsidRPr="009A7383" w14:paraId="67888C4F" w14:textId="77777777">
        <w:trPr>
          <w:cantSplit/>
          <w:jc w:val="center"/>
        </w:trPr>
        <w:tc>
          <w:tcPr>
            <w:tcW w:w="2088" w:type="dxa"/>
            <w:vAlign w:val="center"/>
          </w:tcPr>
          <w:p w14:paraId="55A7505A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Primary marked field profiles</w:t>
            </w:r>
          </w:p>
        </w:tc>
        <w:tc>
          <w:tcPr>
            <w:tcW w:w="1728" w:type="dxa"/>
            <w:vAlign w:val="center"/>
          </w:tcPr>
          <w:p w14:paraId="0EC26890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Turrell H and pipe</w:t>
            </w:r>
          </w:p>
        </w:tc>
        <w:tc>
          <w:tcPr>
            <w:tcW w:w="504" w:type="dxa"/>
            <w:vAlign w:val="center"/>
          </w:tcPr>
          <w:p w14:paraId="533203F3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w="1224" w:type="dxa"/>
            <w:vAlign w:val="center"/>
          </w:tcPr>
          <w:p w14:paraId="40CE5E7D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1 / 0 / 11</w:t>
            </w:r>
          </w:p>
        </w:tc>
        <w:tc>
          <w:tcPr>
            <w:tcW w:w="1080" w:type="dxa"/>
            <w:vAlign w:val="center"/>
          </w:tcPr>
          <w:p w14:paraId="480BB9C0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+0.030</w:t>
            </w:r>
          </w:p>
        </w:tc>
        <w:tc>
          <w:tcPr>
            <w:tcW w:w="2736" w:type="dxa"/>
            <w:vAlign w:val="center"/>
          </w:tcPr>
          <w:p w14:paraId="04E1DA83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Primary external field check</w:t>
            </w:r>
          </w:p>
        </w:tc>
      </w:tr>
      <w:tr w:rsidR="00CD4B0C" w:rsidRPr="009A7383" w14:paraId="483BA0C9" w14:textId="77777777">
        <w:trPr>
          <w:cantSplit/>
          <w:jc w:val="center"/>
        </w:trPr>
        <w:tc>
          <w:tcPr>
            <w:tcW w:w="2088" w:type="dxa"/>
            <w:vAlign w:val="center"/>
          </w:tcPr>
          <w:p w14:paraId="7C7B9FCB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Published field traces</w:t>
            </w:r>
          </w:p>
        </w:tc>
        <w:tc>
          <w:tcPr>
            <w:tcW w:w="1728" w:type="dxa"/>
            <w:vAlign w:val="center"/>
          </w:tcPr>
          <w:p w14:paraId="2DAE1A92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Christchurch 12-m and 14-m CFA</w:t>
            </w:r>
          </w:p>
        </w:tc>
        <w:tc>
          <w:tcPr>
            <w:tcW w:w="504" w:type="dxa"/>
            <w:vAlign w:val="center"/>
          </w:tcPr>
          <w:p w14:paraId="0B3E1534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w="1224" w:type="dxa"/>
            <w:vAlign w:val="center"/>
          </w:tcPr>
          <w:p w14:paraId="67C02E46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0 / 2 / 10</w:t>
            </w:r>
          </w:p>
        </w:tc>
        <w:tc>
          <w:tcPr>
            <w:tcW w:w="1080" w:type="dxa"/>
            <w:vAlign w:val="center"/>
          </w:tcPr>
          <w:p w14:paraId="52BC3115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+0.022</w:t>
            </w:r>
          </w:p>
        </w:tc>
        <w:tc>
          <w:tcPr>
            <w:tcW w:w="2736" w:type="dxa"/>
            <w:vAlign w:val="center"/>
          </w:tcPr>
          <w:p w14:paraId="18B3E3EC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Secondary trace-level check</w:t>
            </w:r>
          </w:p>
        </w:tc>
      </w:tr>
      <w:tr w:rsidR="00CD4B0C" w:rsidRPr="009A7383" w14:paraId="12F0929E" w14:textId="77777777">
        <w:trPr>
          <w:cantSplit/>
          <w:jc w:val="center"/>
        </w:trPr>
        <w:tc>
          <w:tcPr>
            <w:tcW w:w="2088" w:type="dxa"/>
            <w:vAlign w:val="center"/>
          </w:tcPr>
          <w:p w14:paraId="329426DF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Quality-qualified field sensitivity</w:t>
            </w:r>
          </w:p>
        </w:tc>
        <w:tc>
          <w:tcPr>
            <w:tcW w:w="1728" w:type="dxa"/>
            <w:vAlign w:val="center"/>
          </w:tcPr>
          <w:p w14:paraId="78A40968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Turrell concrete</w:t>
            </w:r>
          </w:p>
        </w:tc>
        <w:tc>
          <w:tcPr>
            <w:tcW w:w="504" w:type="dxa"/>
            <w:vAlign w:val="center"/>
          </w:tcPr>
          <w:p w14:paraId="4809D729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w="1224" w:type="dxa"/>
            <w:vAlign w:val="center"/>
          </w:tcPr>
          <w:p w14:paraId="3C902DD1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3 / 1 / 2</w:t>
            </w:r>
          </w:p>
        </w:tc>
        <w:tc>
          <w:tcPr>
            <w:tcW w:w="1080" w:type="dxa"/>
            <w:vAlign w:val="center"/>
          </w:tcPr>
          <w:p w14:paraId="023A7050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−0.016</w:t>
            </w:r>
          </w:p>
        </w:tc>
        <w:tc>
          <w:tcPr>
            <w:tcW w:w="2736" w:type="dxa"/>
            <w:vAlign w:val="center"/>
          </w:tcPr>
          <w:p w14:paraId="16F3682F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Sensitivity only</w:t>
            </w:r>
          </w:p>
        </w:tc>
      </w:tr>
      <w:tr w:rsidR="00CD4B0C" w:rsidRPr="009A7383" w14:paraId="39B553E7" w14:textId="77777777">
        <w:trPr>
          <w:cantSplit/>
          <w:jc w:val="center"/>
        </w:trPr>
        <w:tc>
          <w:tcPr>
            <w:tcW w:w="2088" w:type="dxa"/>
            <w:vAlign w:val="center"/>
          </w:tcPr>
          <w:p w14:paraId="32358314" w14:textId="77777777" w:rsidR="00CD4B0C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Resolution-limited centrifuge sensitivity</w:t>
            </w:r>
          </w:p>
        </w:tc>
        <w:tc>
          <w:tcPr>
            <w:tcW w:w="1728" w:type="dxa"/>
            <w:vAlign w:val="center"/>
          </w:tcPr>
          <w:p w14:paraId="49F25B46" w14:textId="77777777" w:rsidR="00CD4B0C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Cambridge MS09</w:t>
            </w:r>
          </w:p>
        </w:tc>
        <w:tc>
          <w:tcPr>
            <w:tcW w:w="504" w:type="dxa"/>
            <w:vAlign w:val="center"/>
          </w:tcPr>
          <w:p w14:paraId="71A4716E" w14:textId="77777777" w:rsidR="00CD4B0C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w="1224" w:type="dxa"/>
            <w:vAlign w:val="center"/>
          </w:tcPr>
          <w:p w14:paraId="4CA08378" w14:textId="77777777" w:rsidR="00CD4B0C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0 / 1 / 3</w:t>
            </w:r>
          </w:p>
        </w:tc>
        <w:tc>
          <w:tcPr>
            <w:tcW w:w="1080" w:type="dxa"/>
            <w:vAlign w:val="center"/>
          </w:tcPr>
          <w:p w14:paraId="44E06BD5" w14:textId="77777777" w:rsidR="00CD4B0C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+0.020</w:t>
            </w:r>
          </w:p>
        </w:tc>
        <w:tc>
          <w:tcPr>
            <w:tcW w:w="2736" w:type="dxa"/>
            <w:vAlign w:val="center"/>
          </w:tcPr>
          <w:p w14:paraId="7095B107" w14:textId="77777777" w:rsidR="00CD4B0C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Sensitivity only</w:t>
            </w:r>
          </w:p>
        </w:tc>
      </w:tr>
    </w:tbl>
    <w:p w14:paraId="7C609038" w14:textId="77777777" w:rsidR="00C03B1E" w:rsidRDefault="00000000">
      <w:r>
        <w:rPr>
          <w:rFonts w:ascii="Times New Roman" w:hAnsi="Times New Roman"/>
          <w:sz w:val="20"/>
        </w:rPr>
        <w:t>Source: Data from Kevan (2017), FHWA (2017), and Stringer (2012).</w:t>
      </w:r>
    </w:p>
    <w:p w14:paraId="1F89A33D" w14:textId="77777777" w:rsidR="00C03B1E" w:rsidRDefault="00000000" w:rsidP="00D43FEC">
      <w:pPr>
        <w:jc w:val="both"/>
      </w:pPr>
      <w:r>
        <w:rPr>
          <w:rFonts w:ascii="Times New Roman" w:hAnsi="Times New Roman"/>
          <w:sz w:val="20"/>
        </w:rPr>
        <w:t>Note: Δr</w:t>
      </w:r>
      <w:r>
        <w:rPr>
          <w:rFonts w:ascii="Times New Roman" w:hAnsi="Times New Roman"/>
          <w:sz w:val="20"/>
          <w:vertAlign w:val="superscript"/>
        </w:rPr>
        <w:t>(f)</w:t>
      </w:r>
      <w:r>
        <w:rPr>
          <w:rFonts w:ascii="Times New Roman" w:hAnsi="Times New Roman"/>
          <w:sz w:val="20"/>
        </w:rPr>
        <w:t xml:space="preserve"> denotes frozen candidate minus uniform NRMSE; negative values favour the candidate. L/E/H denotes lower, practically equivalent, and higher error using a ±0.005 tolerance. Counts are descriptive profile comparisons, not independent field trials or probability estimates.</w:t>
      </w:r>
    </w:p>
    <w:p w14:paraId="7E482E67" w14:textId="77777777" w:rsidR="00C03B1E" w:rsidRDefault="00000000">
      <w:pPr>
        <w:keepNext/>
        <w:spacing w:before="120"/>
      </w:pPr>
      <w:r>
        <w:rPr>
          <w:rFonts w:ascii="Times New Roman" w:hAnsi="Times New Roman"/>
          <w:b/>
          <w:sz w:val="20"/>
        </w:rPr>
        <w:lastRenderedPageBreak/>
        <w:t>Table S6. Sampling, comparator-population and protocol-sensitivity summary</w:t>
      </w:r>
    </w:p>
    <w:tbl>
      <w:tblPr>
        <w:tblW w:w="9360" w:type="dxa"/>
        <w:jc w:val="center"/>
        <w:tblBorders>
          <w:top w:val="single" w:sz="6" w:space="0" w:color="auto"/>
          <w:left w:val="nil"/>
          <w:bottom w:val="single" w:sz="6" w:space="0" w:color="auto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512"/>
        <w:gridCol w:w="1656"/>
        <w:gridCol w:w="1368"/>
        <w:gridCol w:w="3096"/>
        <w:gridCol w:w="1728"/>
      </w:tblGrid>
      <w:tr w:rsidR="00CD4B0C" w:rsidRPr="009A7383" w14:paraId="4F9CAA52" w14:textId="77777777">
        <w:trPr>
          <w:tblHeader/>
          <w:jc w:val="center"/>
        </w:trPr>
        <w:tc>
          <w:tcPr>
            <w:tcW w:w="1512" w:type="dxa"/>
            <w:tcBorders>
              <w:bottom w:val="single" w:sz="6" w:space="0" w:color="auto"/>
            </w:tcBorders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2291E0E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Check</w:t>
            </w:r>
          </w:p>
        </w:tc>
        <w:tc>
          <w:tcPr>
            <w:tcW w:w="1656" w:type="dxa"/>
            <w:tcBorders>
              <w:bottom w:val="single" w:sz="6" w:space="0" w:color="auto"/>
            </w:tcBorders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E72C3A5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Direction or evidence</w:t>
            </w:r>
          </w:p>
        </w:tc>
        <w:tc>
          <w:tcPr>
            <w:tcW w:w="1368" w:type="dxa"/>
            <w:tcBorders>
              <w:bottom w:val="single" w:sz="6" w:space="0" w:color="auto"/>
            </w:tcBorders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3C87280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b or protocol</w:t>
            </w:r>
          </w:p>
        </w:tc>
        <w:tc>
          <w:tcPr>
            <w:tcW w:w="3096" w:type="dxa"/>
            <w:tcBorders>
              <w:bottom w:val="single" w:sz="6" w:space="0" w:color="auto"/>
            </w:tcBorders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BDD5F27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Result</w:t>
            </w:r>
          </w:p>
        </w:tc>
        <w:tc>
          <w:tcPr>
            <w:tcW w:w="1728" w:type="dxa"/>
            <w:tcBorders>
              <w:bottom w:val="single" w:sz="6" w:space="0" w:color="auto"/>
            </w:tcBorders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6986662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</w:rPr>
              <w:t>Interpretive boundary</w:t>
            </w:r>
          </w:p>
        </w:tc>
      </w:tr>
      <w:tr w:rsidR="00CD4B0C" w:rsidRPr="009A7383" w14:paraId="57B20C1C" w14:textId="77777777">
        <w:trPr>
          <w:cantSplit/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83EFB35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Leave-one-event-out</w:t>
            </w:r>
          </w:p>
        </w:tc>
        <w:tc>
          <w:tcPr>
            <w:tcW w:w="165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337FDEA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SKS02 source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614D5CD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b = 2/3/4</w:t>
            </w:r>
          </w:p>
        </w:tc>
        <w:tc>
          <w:tcPr>
            <w:tcW w:w="30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85ABA24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Exact match 100/100/100%; better 5/6, 6/6, 6/6</w:t>
            </w:r>
          </w:p>
        </w:tc>
        <w:tc>
          <w:tcPr>
            <w:tcW w:w="172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BA3D868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Source-sample stability only</w:t>
            </w:r>
          </w:p>
        </w:tc>
      </w:tr>
      <w:tr w:rsidR="00CD4B0C" w:rsidRPr="009A7383" w14:paraId="0744E7CF" w14:textId="77777777">
        <w:trPr>
          <w:cantSplit/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487719A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Leave-one-event-out</w:t>
            </w:r>
          </w:p>
        </w:tc>
        <w:tc>
          <w:tcPr>
            <w:tcW w:w="165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B1DFC35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SKS03 source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861603D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b = 2/3/4</w:t>
            </w:r>
          </w:p>
        </w:tc>
        <w:tc>
          <w:tcPr>
            <w:tcW w:w="30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AB5B59E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Exact match 80/60/80%; better 5/5 at each b</w:t>
            </w:r>
          </w:p>
        </w:tc>
        <w:tc>
          <w:tcPr>
            <w:tcW w:w="172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8051D61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Source-sample stability only</w:t>
            </w:r>
          </w:p>
        </w:tc>
      </w:tr>
      <w:tr w:rsidR="00CD4B0C" w:rsidRPr="009A7383" w14:paraId="10238D66" w14:textId="77777777">
        <w:trPr>
          <w:cantSplit/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97DB44E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All admissible layouts</w:t>
            </w:r>
          </w:p>
        </w:tc>
        <w:tc>
          <w:tcPr>
            <w:tcW w:w="165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67B18CF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SKS02 → SKS03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B739C70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b = 2/3/4</w:t>
            </w:r>
          </w:p>
        </w:tc>
        <w:tc>
          <w:tcPr>
            <w:tcW w:w="30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D4522FE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Outperformed 71/63/83%; ranks 6/21, 13/35, 6/35</w:t>
            </w:r>
          </w:p>
        </w:tc>
        <w:tc>
          <w:tcPr>
            <w:tcW w:w="172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05C4DDB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Target responses used only for audit</w:t>
            </w:r>
          </w:p>
        </w:tc>
      </w:tr>
      <w:tr w:rsidR="00CD4B0C" w:rsidRPr="009A7383" w14:paraId="4BFC86CA" w14:textId="77777777">
        <w:trPr>
          <w:cantSplit/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EF4366E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All admissible layouts</w:t>
            </w:r>
          </w:p>
        </w:tc>
        <w:tc>
          <w:tcPr>
            <w:tcW w:w="165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9D8F287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SKS03 → SKS02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2DCF358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b = 2/3/4</w:t>
            </w:r>
          </w:p>
        </w:tc>
        <w:tc>
          <w:tcPr>
            <w:tcW w:w="30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17049B2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Outperformed 43/69/86%; ranks 12/21, 11/35, 5/35</w:t>
            </w:r>
          </w:p>
        </w:tc>
        <w:tc>
          <w:tcPr>
            <w:tcW w:w="172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BC7D328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Target responses used only for audit</w:t>
            </w:r>
          </w:p>
        </w:tc>
      </w:tr>
      <w:tr w:rsidR="00CD4B0C" w:rsidRPr="009A7383" w14:paraId="7D77F47F" w14:textId="77777777">
        <w:trPr>
          <w:cantSplit/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1CBCFD8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Lower boundary retained</w:t>
            </w:r>
          </w:p>
        </w:tc>
        <w:tc>
          <w:tcPr>
            <w:tcW w:w="165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2F170DA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SKS02 → SKS03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3833DCD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b = 2</w:t>
            </w:r>
          </w:p>
        </w:tc>
        <w:tc>
          <w:tcPr>
            <w:tcW w:w="30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CE6BCCF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Candidate 0.113; uniform 0.279; median Δ = −0.170</w:t>
            </w:r>
          </w:p>
        </w:tc>
        <w:tc>
          <w:tcPr>
            <w:tcW w:w="172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AE63B26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Configuration sensitivity</w:t>
            </w:r>
          </w:p>
        </w:tc>
      </w:tr>
      <w:tr w:rsidR="00CD4B0C" w:rsidRPr="009A7383" w14:paraId="329055E6" w14:textId="77777777">
        <w:trPr>
          <w:cantSplit/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DEBA837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Lower boundary retained</w:t>
            </w:r>
          </w:p>
        </w:tc>
        <w:tc>
          <w:tcPr>
            <w:tcW w:w="165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4A13E64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SKS03 → SKS02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8E35845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b = 2</w:t>
            </w:r>
          </w:p>
        </w:tc>
        <w:tc>
          <w:tcPr>
            <w:tcW w:w="30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4BE3604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Candidate 0.210; uniform 0.218; median Δ = −0.009</w:t>
            </w:r>
          </w:p>
        </w:tc>
        <w:tc>
          <w:tcPr>
            <w:tcW w:w="172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02B2753" w14:textId="77777777" w:rsidR="000430F8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Primary higher-error result is protocol dependent</w:t>
            </w:r>
          </w:p>
        </w:tc>
      </w:tr>
      <w:tr w:rsidR="00CD4B0C" w:rsidRPr="009A7383" w14:paraId="244F54F4" w14:textId="77777777">
        <w:trPr>
          <w:cantSplit/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63C1B9D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Full-scale profiles</w:t>
            </w:r>
          </w:p>
        </w:tc>
        <w:tc>
          <w:tcPr>
            <w:tcW w:w="165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AFC45AE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Original layout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B09F06A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Linear / PCHIP</w:t>
            </w:r>
          </w:p>
        </w:tc>
        <w:tc>
          <w:tcPr>
            <w:tcW w:w="30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758E1EF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L/E/H = 1/2/21 and 2/5/17; median Δ = +0.022/+0.024</w:t>
            </w:r>
          </w:p>
        </w:tc>
        <w:tc>
          <w:tcPr>
            <w:tcW w:w="172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7E055FA" w14:textId="77777777" w:rsidR="00CD4B0C" w:rsidRPr="009A7383" w:rsidRDefault="008D78AE" w:rsidP="0029211A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Descriptive, tolerance ±0.005</w:t>
            </w:r>
          </w:p>
        </w:tc>
      </w:tr>
      <w:tr w:rsidR="00CD4B0C" w:rsidRPr="009A7383" w14:paraId="7BE2BA7F" w14:textId="77777777">
        <w:trPr>
          <w:cantSplit/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27AD528" w14:textId="77777777" w:rsidR="00CD4B0C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Full-scale profiles</w:t>
            </w:r>
          </w:p>
        </w:tc>
        <w:tc>
          <w:tcPr>
            <w:tcW w:w="165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D502212" w14:textId="77777777" w:rsidR="00CD4B0C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Boundary-constrained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637CB67" w14:textId="77777777" w:rsidR="00CD4B0C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Linear / PCHIP</w:t>
            </w:r>
          </w:p>
        </w:tc>
        <w:tc>
          <w:tcPr>
            <w:tcW w:w="30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5831778" w14:textId="77777777" w:rsidR="00CD4B0C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L/E/H = 1/2/21 and 2/7/15; median Δ = +0.025/+0.012</w:t>
            </w:r>
          </w:p>
        </w:tc>
        <w:tc>
          <w:tcPr>
            <w:tcW w:w="172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1282366" w14:textId="77777777" w:rsidR="00CD4B0C" w:rsidRPr="009A7383" w:rsidRDefault="008D78AE" w:rsidP="0029211A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Descriptive, tolerance ±0.005</w:t>
            </w:r>
          </w:p>
        </w:tc>
      </w:tr>
    </w:tbl>
    <w:p w14:paraId="44198E0D" w14:textId="77777777" w:rsidR="00C03B1E" w:rsidRDefault="00000000">
      <w:r>
        <w:rPr>
          <w:rFonts w:ascii="Times New Roman" w:hAnsi="Times New Roman"/>
          <w:sz w:val="20"/>
        </w:rPr>
        <w:t>Source: Data from Sinha et al. (2020a, b), Kevan (2017), and FHWA (2017).</w:t>
      </w:r>
    </w:p>
    <w:p w14:paraId="236B6E1A" w14:textId="77777777" w:rsidR="00C03B1E" w:rsidRDefault="00000000" w:rsidP="00D43FEC">
      <w:pPr>
        <w:jc w:val="both"/>
      </w:pPr>
      <w:r>
        <w:rPr>
          <w:rFonts w:ascii="Times New Roman" w:hAnsi="Times New Roman"/>
          <w:sz w:val="20"/>
        </w:rPr>
        <w:t>Note: b is the number of stations added to the fixed upper boundary; n</w:t>
      </w:r>
      <w:r>
        <w:rPr>
          <w:rFonts w:ascii="Times New Roman" w:hAnsi="Times New Roman"/>
          <w:sz w:val="20"/>
          <w:vertAlign w:val="subscript"/>
        </w:rPr>
        <w:t>s</w:t>
      </w:r>
      <w:r>
        <w:rPr>
          <w:rFonts w:ascii="Times New Roman" w:hAnsi="Times New Roman"/>
          <w:sz w:val="20"/>
        </w:rPr>
        <w:t xml:space="preserve"> = b + 1. L/E/H denotes lower, practically equivalent and higher error. Ranks use every admissible target-grid layout and do not alter the frozen layout.</w:t>
      </w:r>
    </w:p>
    <w:p w14:paraId="6B6BAC11" w14:textId="77777777" w:rsidR="00C03B1E" w:rsidRDefault="00000000">
      <w:pPr>
        <w:keepNext/>
        <w:pageBreakBefore/>
      </w:pPr>
      <w:r>
        <w:rPr>
          <w:rFonts w:ascii="Times New Roman" w:hAnsi="Times New Roman"/>
          <w:b/>
          <w:sz w:val="20"/>
        </w:rPr>
        <w:lastRenderedPageBreak/>
        <w:t>Phase-specific diagnostic protocol</w:t>
      </w:r>
    </w:p>
    <w:p w14:paraId="1CB4F31A" w14:textId="77777777" w:rsidR="00C03B1E" w:rsidRDefault="00000000" w:rsidP="00D43FEC">
      <w:pPr>
        <w:jc w:val="both"/>
      </w:pPr>
      <w:r>
        <w:rPr>
          <w:rFonts w:ascii="Times New Roman" w:hAnsi="Times New Roman"/>
          <w:sz w:val="20"/>
        </w:rPr>
        <w:t>Input acceleration is in seconds; axial-load and Keller pore-pressure times are converted from minutes. Their timestamps match exactly for all 22 eight-level histories. At each fast/slow join, only times exceeding every preceding timestamp are retained, removing one pressure row per SKS02 event and two per SKS03 event; axial records receive the same rule. Missing responses are not interpolated. The whole-history benchmark uses file order; this diagnostic uses elapsed time.</w:t>
      </w:r>
    </w:p>
    <w:p w14:paraId="64DEE7B6" w14:textId="77777777" w:rsidR="00C03B1E" w:rsidRDefault="00000000" w:rsidP="00D43FEC">
      <w:pPr>
        <w:jc w:val="both"/>
      </w:pPr>
      <w:r>
        <w:rPr>
          <w:rFonts w:ascii="Times New Roman" w:hAnsi="Times New Roman"/>
          <w:sz w:val="20"/>
        </w:rPr>
        <w:t>Shaking spans 5–95% of the cumulative trapezoidal integral of squared input acceleration. The pressure proxy is the 90th percentile across available non-flat Keller channels, clipping negative ratios to zero, then applying a centred 3-s elapsed-time mean. At least 80% of channels must be available; missing values are not imputed. The reference peak spans shaking onset to 60 s after shaking ends. Decay begins at the first post-shaking timestamp starting an observed interval of at least 60 s entirely below the chosen peak fraction, with no consecutive gap exceeding 60 s.</w:t>
      </w:r>
    </w:p>
    <w:p w14:paraId="566C24F5" w14:textId="77777777" w:rsidR="00C03B1E" w:rsidRDefault="00000000" w:rsidP="00D43FEC">
      <w:pPr>
        <w:jc w:val="both"/>
      </w:pPr>
      <w:r>
        <w:rPr>
          <w:rFonts w:ascii="Times New Roman" w:hAnsi="Times New Roman"/>
          <w:sz w:val="20"/>
        </w:rPr>
        <w:t>The primary peak fraction is 0.50; 0.25 and 0.75 are sensitivities. A reference peak below 0.10 precludes decay partitioning, excluding SKS02 EQM1 from post-shaking phases but not shaking. These operational thresholds do not define liquefaction or complete dissipation. Before-decay and after-decay periods extend from shaking end to the boundary and from the boundary to the common record end (Table S7).</w:t>
      </w:r>
    </w:p>
    <w:p w14:paraId="0DD29DCE" w14:textId="77777777" w:rsidR="00C03B1E" w:rsidRDefault="00000000" w:rsidP="00D43FEC">
      <w:pPr>
        <w:jc w:val="both"/>
      </w:pPr>
      <w:r>
        <w:rPr>
          <w:rFonts w:ascii="Times New Roman" w:hAnsi="Times New Roman"/>
          <w:sz w:val="20"/>
        </w:rPr>
        <w:t>Loads are unsmoothed or use centred elapsed-time means of 6 s for Pile 1 and 3 s otherwise, with half-window phase-edge guards. Up to 120 distinct measured times nearest evenly spaced elapsed-time targets are retained per phase; 240 is a sensitivity. At least ten snapshots are required. Three peak fractions, two smoothing choices and two caps give 12 settings. Repeated shaking results across fractions are not independent checks. Elapsed-time smoothing avoids treating slow-logging row windows as few-second intervals.</w:t>
      </w:r>
    </w:p>
    <w:p w14:paraId="63FC904C" w14:textId="77777777" w:rsidR="00C03B1E" w:rsidRDefault="00000000" w:rsidP="00D43FEC">
      <w:pPr>
        <w:jc w:val="both"/>
      </w:pPr>
      <w:r>
        <w:rPr>
          <w:rFonts w:ascii="Times New Roman" w:hAnsi="Times New Roman"/>
          <w:sz w:val="20"/>
        </w:rPr>
        <w:t>Original and previously boundary-retained layouts remain fixed for b = 2–4. Equations (3), (4), (9) and (10) define snapshot errors; Eq. (5) is restricted to each phase. Equation (7) aggregates paired pile differences within earthquakes. Event medians, ranges and signs are descriptive, without new population intervals. Table S8 and Fig. S4 show b = 2; CSV files retain every budget, response objective and setting.</w:t>
      </w:r>
    </w:p>
    <w:p w14:paraId="6B3890BE" w14:textId="77777777" w:rsidR="00C03B1E" w:rsidRDefault="00000000">
      <w:pPr>
        <w:keepNext/>
        <w:pageBreakBefore/>
      </w:pPr>
      <w:r>
        <w:rPr>
          <w:rFonts w:ascii="Times New Roman" w:hAnsi="Times New Roman"/>
          <w:b/>
          <w:sz w:val="20"/>
        </w:rPr>
        <w:lastRenderedPageBreak/>
        <w:t>Table S7. Phase boundaries for the primary decay fraction of 0.50</w:t>
      </w:r>
    </w:p>
    <w:tbl>
      <w:tblPr>
        <w:tblW w:w="9360" w:type="dxa"/>
        <w:tblInd w:w="120" w:type="dxa"/>
        <w:tblBorders>
          <w:top w:val="single" w:sz="6" w:space="0" w:color="auto"/>
          <w:left w:val="nil"/>
          <w:bottom w:val="single" w:sz="6" w:space="0" w:color="auto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944"/>
        <w:gridCol w:w="1512"/>
        <w:gridCol w:w="1872"/>
        <w:gridCol w:w="2448"/>
      </w:tblGrid>
      <w:tr w:rsidR="00C03B1E" w14:paraId="71DD8A5C" w14:textId="77777777">
        <w:trPr>
          <w:cantSplit/>
          <w:tblHeader/>
        </w:trPr>
        <w:tc>
          <w:tcPr>
            <w:tcW w:w="1584" w:type="dxa"/>
            <w:tcBorders>
              <w:bottom w:val="single" w:sz="6" w:space="0" w:color="auto"/>
            </w:tcBorders>
          </w:tcPr>
          <w:p w14:paraId="7415C0C2" w14:textId="77777777" w:rsidR="00C03B1E" w:rsidRDefault="00000000">
            <w:pPr>
              <w:keepNext/>
              <w:spacing w:before="80" w:after="80" w:line="264" w:lineRule="auto"/>
            </w:pPr>
            <w:r>
              <w:rPr>
                <w:rFonts w:ascii="Times New Roman" w:hAnsi="Times New Roman"/>
                <w:b/>
                <w:sz w:val="20"/>
              </w:rPr>
              <w:t>Test / event</w:t>
            </w:r>
          </w:p>
        </w:tc>
        <w:tc>
          <w:tcPr>
            <w:tcW w:w="1944" w:type="dxa"/>
            <w:tcBorders>
              <w:bottom w:val="single" w:sz="6" w:space="0" w:color="auto"/>
            </w:tcBorders>
          </w:tcPr>
          <w:p w14:paraId="0190B683" w14:textId="77777777" w:rsidR="00C03B1E" w:rsidRDefault="00000000">
            <w:pPr>
              <w:keepNext/>
              <w:spacing w:before="80" w:after="80" w:line="264" w:lineRule="auto"/>
            </w:pPr>
            <w:r>
              <w:rPr>
                <w:rFonts w:ascii="Times New Roman" w:hAnsi="Times New Roman"/>
                <w:b/>
                <w:sz w:val="20"/>
              </w:rPr>
              <w:t>Shaking (s)</w:t>
            </w:r>
          </w:p>
        </w:tc>
        <w:tc>
          <w:tcPr>
            <w:tcW w:w="1512" w:type="dxa"/>
            <w:tcBorders>
              <w:bottom w:val="single" w:sz="6" w:space="0" w:color="auto"/>
            </w:tcBorders>
          </w:tcPr>
          <w:p w14:paraId="27B65F96" w14:textId="77777777" w:rsidR="00C03B1E" w:rsidRDefault="00000000">
            <w:pPr>
              <w:keepNext/>
              <w:spacing w:before="80" w:after="80" w:line="264" w:lineRule="auto"/>
            </w:pPr>
            <w:r>
              <w:rPr>
                <w:rFonts w:ascii="Times New Roman" w:hAnsi="Times New Roman"/>
                <w:b/>
                <w:sz w:val="20"/>
              </w:rPr>
              <w:t>Pressure peak</w:t>
            </w:r>
          </w:p>
        </w:tc>
        <w:tc>
          <w:tcPr>
            <w:tcW w:w="1872" w:type="dxa"/>
            <w:tcBorders>
              <w:bottom w:val="single" w:sz="6" w:space="0" w:color="auto"/>
            </w:tcBorders>
          </w:tcPr>
          <w:p w14:paraId="1A7DC67A" w14:textId="77777777" w:rsidR="00C03B1E" w:rsidRDefault="00000000">
            <w:pPr>
              <w:keepNext/>
              <w:spacing w:before="80" w:after="80" w:line="264" w:lineRule="auto"/>
            </w:pPr>
            <w:r>
              <w:rPr>
                <w:rFonts w:ascii="Times New Roman" w:hAnsi="Times New Roman"/>
                <w:b/>
                <w:sz w:val="20"/>
              </w:rPr>
              <w:t>Decay time (s)</w:t>
            </w:r>
          </w:p>
        </w:tc>
        <w:tc>
          <w:tcPr>
            <w:tcW w:w="2448" w:type="dxa"/>
            <w:tcBorders>
              <w:bottom w:val="single" w:sz="6" w:space="0" w:color="auto"/>
            </w:tcBorders>
          </w:tcPr>
          <w:p w14:paraId="6633F226" w14:textId="77777777" w:rsidR="00C03B1E" w:rsidRDefault="00000000">
            <w:pPr>
              <w:keepNext/>
              <w:spacing w:before="80" w:after="80" w:line="264" w:lineRule="auto"/>
            </w:pPr>
            <w:r>
              <w:rPr>
                <w:rFonts w:ascii="Times New Roman" w:hAnsi="Times New Roman"/>
                <w:b/>
                <w:sz w:val="20"/>
              </w:rPr>
              <w:t>Preceding interval (s)</w:t>
            </w:r>
          </w:p>
        </w:tc>
      </w:tr>
      <w:tr w:rsidR="00C03B1E" w14:paraId="2078FE9E" w14:textId="77777777">
        <w:trPr>
          <w:cantSplit/>
        </w:trPr>
        <w:tc>
          <w:tcPr>
            <w:tcW w:w="1584" w:type="dxa"/>
          </w:tcPr>
          <w:p w14:paraId="5B11D8D1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SKS02 E1</w:t>
            </w:r>
          </w:p>
        </w:tc>
        <w:tc>
          <w:tcPr>
            <w:tcW w:w="1944" w:type="dxa"/>
          </w:tcPr>
          <w:p w14:paraId="56B7AB42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1.21–14.98</w:t>
            </w:r>
          </w:p>
        </w:tc>
        <w:tc>
          <w:tcPr>
            <w:tcW w:w="1512" w:type="dxa"/>
          </w:tcPr>
          <w:p w14:paraId="5F31DAF1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0.017</w:t>
            </w:r>
          </w:p>
        </w:tc>
        <w:tc>
          <w:tcPr>
            <w:tcW w:w="1872" w:type="dxa"/>
          </w:tcPr>
          <w:p w14:paraId="16A932D5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Not assigned</w:t>
            </w:r>
          </w:p>
        </w:tc>
        <w:tc>
          <w:tcPr>
            <w:tcW w:w="2448" w:type="dxa"/>
          </w:tcPr>
          <w:p w14:paraId="740FE2B4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 w:rsidR="00C03B1E" w14:paraId="2F3D89C0" w14:textId="77777777">
        <w:trPr>
          <w:cantSplit/>
        </w:trPr>
        <w:tc>
          <w:tcPr>
            <w:tcW w:w="1584" w:type="dxa"/>
          </w:tcPr>
          <w:p w14:paraId="5CCCA42D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SKS02 E2</w:t>
            </w:r>
          </w:p>
        </w:tc>
        <w:tc>
          <w:tcPr>
            <w:tcW w:w="1944" w:type="dxa"/>
          </w:tcPr>
          <w:p w14:paraId="31C335B4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2.72–13.39</w:t>
            </w:r>
          </w:p>
        </w:tc>
        <w:tc>
          <w:tcPr>
            <w:tcW w:w="1512" w:type="dxa"/>
          </w:tcPr>
          <w:p w14:paraId="28F00EB0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0.681</w:t>
            </w:r>
          </w:p>
        </w:tc>
        <w:tc>
          <w:tcPr>
            <w:tcW w:w="1872" w:type="dxa"/>
          </w:tcPr>
          <w:p w14:paraId="1C7036AE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692.38</w:t>
            </w:r>
          </w:p>
        </w:tc>
        <w:tc>
          <w:tcPr>
            <w:tcW w:w="2448" w:type="dxa"/>
          </w:tcPr>
          <w:p w14:paraId="17EE624B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0.008</w:t>
            </w:r>
          </w:p>
        </w:tc>
      </w:tr>
      <w:tr w:rsidR="00C03B1E" w14:paraId="079B224F" w14:textId="77777777">
        <w:trPr>
          <w:cantSplit/>
        </w:trPr>
        <w:tc>
          <w:tcPr>
            <w:tcW w:w="1584" w:type="dxa"/>
          </w:tcPr>
          <w:p w14:paraId="66DA4E8F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SKS02 E3</w:t>
            </w:r>
          </w:p>
        </w:tc>
        <w:tc>
          <w:tcPr>
            <w:tcW w:w="1944" w:type="dxa"/>
          </w:tcPr>
          <w:p w14:paraId="6004AC8C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2.02–12.11</w:t>
            </w:r>
          </w:p>
        </w:tc>
        <w:tc>
          <w:tcPr>
            <w:tcW w:w="1512" w:type="dxa"/>
          </w:tcPr>
          <w:p w14:paraId="2E5C6694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0.999</w:t>
            </w:r>
          </w:p>
        </w:tc>
        <w:tc>
          <w:tcPr>
            <w:tcW w:w="1872" w:type="dxa"/>
          </w:tcPr>
          <w:p w14:paraId="29D80EF0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552.21</w:t>
            </w:r>
          </w:p>
        </w:tc>
        <w:tc>
          <w:tcPr>
            <w:tcW w:w="2448" w:type="dxa"/>
          </w:tcPr>
          <w:p w14:paraId="60C1D87D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0.008</w:t>
            </w:r>
          </w:p>
        </w:tc>
      </w:tr>
      <w:tr w:rsidR="00C03B1E" w14:paraId="4F08A8CA" w14:textId="77777777">
        <w:trPr>
          <w:cantSplit/>
        </w:trPr>
        <w:tc>
          <w:tcPr>
            <w:tcW w:w="1584" w:type="dxa"/>
          </w:tcPr>
          <w:p w14:paraId="657FDD94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SKS02 E4</w:t>
            </w:r>
          </w:p>
        </w:tc>
        <w:tc>
          <w:tcPr>
            <w:tcW w:w="1944" w:type="dxa"/>
          </w:tcPr>
          <w:p w14:paraId="75646F66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2.53–13.19</w:t>
            </w:r>
          </w:p>
        </w:tc>
        <w:tc>
          <w:tcPr>
            <w:tcW w:w="1512" w:type="dxa"/>
          </w:tcPr>
          <w:p w14:paraId="291286D4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0.439</w:t>
            </w:r>
          </w:p>
        </w:tc>
        <w:tc>
          <w:tcPr>
            <w:tcW w:w="1872" w:type="dxa"/>
          </w:tcPr>
          <w:p w14:paraId="46CB46B6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1961.62</w:t>
            </w:r>
          </w:p>
        </w:tc>
        <w:tc>
          <w:tcPr>
            <w:tcW w:w="2448" w:type="dxa"/>
          </w:tcPr>
          <w:p w14:paraId="7F6489D5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39.883</w:t>
            </w:r>
          </w:p>
        </w:tc>
      </w:tr>
      <w:tr w:rsidR="00C03B1E" w14:paraId="348689A4" w14:textId="77777777">
        <w:trPr>
          <w:cantSplit/>
        </w:trPr>
        <w:tc>
          <w:tcPr>
            <w:tcW w:w="1584" w:type="dxa"/>
          </w:tcPr>
          <w:p w14:paraId="1A402354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SKS02 E5</w:t>
            </w:r>
          </w:p>
        </w:tc>
        <w:tc>
          <w:tcPr>
            <w:tcW w:w="1944" w:type="dxa"/>
          </w:tcPr>
          <w:p w14:paraId="29980E1B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4.51–14.94</w:t>
            </w:r>
          </w:p>
        </w:tc>
        <w:tc>
          <w:tcPr>
            <w:tcW w:w="1512" w:type="dxa"/>
          </w:tcPr>
          <w:p w14:paraId="4961EB50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0.965</w:t>
            </w:r>
          </w:p>
        </w:tc>
        <w:tc>
          <w:tcPr>
            <w:tcW w:w="1872" w:type="dxa"/>
          </w:tcPr>
          <w:p w14:paraId="4C8D3D2B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681.87</w:t>
            </w:r>
          </w:p>
        </w:tc>
        <w:tc>
          <w:tcPr>
            <w:tcW w:w="2448" w:type="dxa"/>
          </w:tcPr>
          <w:p w14:paraId="6170840B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39.961</w:t>
            </w:r>
          </w:p>
        </w:tc>
      </w:tr>
      <w:tr w:rsidR="00C03B1E" w14:paraId="29D6A518" w14:textId="77777777">
        <w:trPr>
          <w:cantSplit/>
        </w:trPr>
        <w:tc>
          <w:tcPr>
            <w:tcW w:w="1584" w:type="dxa"/>
          </w:tcPr>
          <w:p w14:paraId="285B24C8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SKS02 E6</w:t>
            </w:r>
          </w:p>
        </w:tc>
        <w:tc>
          <w:tcPr>
            <w:tcW w:w="1944" w:type="dxa"/>
          </w:tcPr>
          <w:p w14:paraId="4B9EDC14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3.52–56.27</w:t>
            </w:r>
          </w:p>
        </w:tc>
        <w:tc>
          <w:tcPr>
            <w:tcW w:w="1512" w:type="dxa"/>
          </w:tcPr>
          <w:p w14:paraId="286DD9C9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0.966</w:t>
            </w:r>
          </w:p>
        </w:tc>
        <w:tc>
          <w:tcPr>
            <w:tcW w:w="1872" w:type="dxa"/>
          </w:tcPr>
          <w:p w14:paraId="1948CACA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292.65</w:t>
            </w:r>
          </w:p>
        </w:tc>
        <w:tc>
          <w:tcPr>
            <w:tcW w:w="2448" w:type="dxa"/>
          </w:tcPr>
          <w:p w14:paraId="189867E6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0.008</w:t>
            </w:r>
          </w:p>
        </w:tc>
      </w:tr>
      <w:tr w:rsidR="00C03B1E" w14:paraId="11210E13" w14:textId="77777777">
        <w:trPr>
          <w:cantSplit/>
        </w:trPr>
        <w:tc>
          <w:tcPr>
            <w:tcW w:w="1584" w:type="dxa"/>
          </w:tcPr>
          <w:p w14:paraId="2A884896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SKS03 E1</w:t>
            </w:r>
          </w:p>
        </w:tc>
        <w:tc>
          <w:tcPr>
            <w:tcW w:w="1944" w:type="dxa"/>
          </w:tcPr>
          <w:p w14:paraId="4955652E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5.20–15.91</w:t>
            </w:r>
          </w:p>
        </w:tc>
        <w:tc>
          <w:tcPr>
            <w:tcW w:w="1512" w:type="dxa"/>
          </w:tcPr>
          <w:p w14:paraId="6C176283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1.049</w:t>
            </w:r>
          </w:p>
        </w:tc>
        <w:tc>
          <w:tcPr>
            <w:tcW w:w="1872" w:type="dxa"/>
          </w:tcPr>
          <w:p w14:paraId="582B1C65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229.02</w:t>
            </w:r>
          </w:p>
        </w:tc>
        <w:tc>
          <w:tcPr>
            <w:tcW w:w="2448" w:type="dxa"/>
          </w:tcPr>
          <w:p w14:paraId="08ED429C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0.008</w:t>
            </w:r>
          </w:p>
        </w:tc>
      </w:tr>
      <w:tr w:rsidR="00C03B1E" w14:paraId="5A3B498B" w14:textId="77777777">
        <w:trPr>
          <w:cantSplit/>
        </w:trPr>
        <w:tc>
          <w:tcPr>
            <w:tcW w:w="1584" w:type="dxa"/>
          </w:tcPr>
          <w:p w14:paraId="3C25B99B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SKS03 E2</w:t>
            </w:r>
          </w:p>
        </w:tc>
        <w:tc>
          <w:tcPr>
            <w:tcW w:w="1944" w:type="dxa"/>
          </w:tcPr>
          <w:p w14:paraId="0E4E4CD3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5.06–15.77</w:t>
            </w:r>
          </w:p>
        </w:tc>
        <w:tc>
          <w:tcPr>
            <w:tcW w:w="1512" w:type="dxa"/>
          </w:tcPr>
          <w:p w14:paraId="6CE5E223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1.075</w:t>
            </w:r>
          </w:p>
        </w:tc>
        <w:tc>
          <w:tcPr>
            <w:tcW w:w="1872" w:type="dxa"/>
          </w:tcPr>
          <w:p w14:paraId="4A214E5A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564.26</w:t>
            </w:r>
          </w:p>
        </w:tc>
        <w:tc>
          <w:tcPr>
            <w:tcW w:w="2448" w:type="dxa"/>
          </w:tcPr>
          <w:p w14:paraId="7AC7B36D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40.039</w:t>
            </w:r>
          </w:p>
        </w:tc>
      </w:tr>
      <w:tr w:rsidR="00C03B1E" w14:paraId="4A7E4662" w14:textId="77777777">
        <w:trPr>
          <w:cantSplit/>
        </w:trPr>
        <w:tc>
          <w:tcPr>
            <w:tcW w:w="1584" w:type="dxa"/>
          </w:tcPr>
          <w:p w14:paraId="2F813788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SKS03 E3</w:t>
            </w:r>
          </w:p>
        </w:tc>
        <w:tc>
          <w:tcPr>
            <w:tcW w:w="1944" w:type="dxa"/>
          </w:tcPr>
          <w:p w14:paraId="0B3C34AD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4.69–15.41</w:t>
            </w:r>
          </w:p>
        </w:tc>
        <w:tc>
          <w:tcPr>
            <w:tcW w:w="1512" w:type="dxa"/>
          </w:tcPr>
          <w:p w14:paraId="1FBD8347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1.130</w:t>
            </w:r>
          </w:p>
        </w:tc>
        <w:tc>
          <w:tcPr>
            <w:tcW w:w="1872" w:type="dxa"/>
          </w:tcPr>
          <w:p w14:paraId="4461F7A3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823.40</w:t>
            </w:r>
          </w:p>
        </w:tc>
        <w:tc>
          <w:tcPr>
            <w:tcW w:w="2448" w:type="dxa"/>
          </w:tcPr>
          <w:p w14:paraId="7D65EE92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39.961</w:t>
            </w:r>
          </w:p>
        </w:tc>
      </w:tr>
      <w:tr w:rsidR="00C03B1E" w14:paraId="2617FA41" w14:textId="77777777">
        <w:trPr>
          <w:cantSplit/>
        </w:trPr>
        <w:tc>
          <w:tcPr>
            <w:tcW w:w="1584" w:type="dxa"/>
          </w:tcPr>
          <w:p w14:paraId="695EF471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SKS03 E4</w:t>
            </w:r>
          </w:p>
        </w:tc>
        <w:tc>
          <w:tcPr>
            <w:tcW w:w="1944" w:type="dxa"/>
          </w:tcPr>
          <w:p w14:paraId="7AD480E4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5.41–60.06</w:t>
            </w:r>
          </w:p>
        </w:tc>
        <w:tc>
          <w:tcPr>
            <w:tcW w:w="1512" w:type="dxa"/>
          </w:tcPr>
          <w:p w14:paraId="4561B5F8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1.205</w:t>
            </w:r>
          </w:p>
        </w:tc>
        <w:tc>
          <w:tcPr>
            <w:tcW w:w="1872" w:type="dxa"/>
          </w:tcPr>
          <w:p w14:paraId="508ED0C5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1185.88</w:t>
            </w:r>
          </w:p>
        </w:tc>
        <w:tc>
          <w:tcPr>
            <w:tcW w:w="2448" w:type="dxa"/>
          </w:tcPr>
          <w:p w14:paraId="11EC0211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41.367</w:t>
            </w:r>
          </w:p>
        </w:tc>
      </w:tr>
      <w:tr w:rsidR="00C03B1E" w14:paraId="55C6E4F4" w14:textId="77777777">
        <w:trPr>
          <w:cantSplit/>
        </w:trPr>
        <w:tc>
          <w:tcPr>
            <w:tcW w:w="1584" w:type="dxa"/>
          </w:tcPr>
          <w:p w14:paraId="00E84C4F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SKS03 E5</w:t>
            </w:r>
          </w:p>
        </w:tc>
        <w:tc>
          <w:tcPr>
            <w:tcW w:w="1944" w:type="dxa"/>
          </w:tcPr>
          <w:p w14:paraId="6AC42B1E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5.68–67.82</w:t>
            </w:r>
          </w:p>
        </w:tc>
        <w:tc>
          <w:tcPr>
            <w:tcW w:w="1512" w:type="dxa"/>
          </w:tcPr>
          <w:p w14:paraId="02B7157D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1.442</w:t>
            </w:r>
          </w:p>
        </w:tc>
        <w:tc>
          <w:tcPr>
            <w:tcW w:w="1872" w:type="dxa"/>
          </w:tcPr>
          <w:p w14:paraId="44C01787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1183.93</w:t>
            </w:r>
          </w:p>
        </w:tc>
        <w:tc>
          <w:tcPr>
            <w:tcW w:w="2448" w:type="dxa"/>
          </w:tcPr>
          <w:p w14:paraId="18537BF3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40.000</w:t>
            </w:r>
          </w:p>
        </w:tc>
      </w:tr>
    </w:tbl>
    <w:p w14:paraId="4A4A5003" w14:textId="77777777" w:rsidR="00C03B1E" w:rsidRDefault="00000000" w:rsidP="00D43FEC">
      <w:pPr>
        <w:jc w:val="both"/>
      </w:pPr>
      <w:r>
        <w:rPr>
          <w:rFonts w:ascii="Times New Roman" w:hAnsi="Times New Roman"/>
          <w:sz w:val="20"/>
        </w:rPr>
        <w:t>Source: Sinha et al. (2020a, b). Times are from input-motion onset. The pressure peak is a dimensionless multi-channel proxy, not a layer-specific maximum. The preceding recorded interval indicates boundary resolution; it is not a confidence bound. SKS02 EQM1 falls below the operational pressure-response floor. Ten of ten eligible post-shaking events and all 11 shaking events contribute; repeated piles remain aggregated within events.</w:t>
      </w:r>
    </w:p>
    <w:p w14:paraId="1FEC6818" w14:textId="77777777" w:rsidR="00C03B1E" w:rsidRDefault="00000000">
      <w:pPr>
        <w:keepNext/>
        <w:pageBreakBefore/>
      </w:pPr>
      <w:r>
        <w:rPr>
          <w:rFonts w:ascii="Times New Roman" w:hAnsi="Times New Roman"/>
          <w:b/>
          <w:sz w:val="20"/>
        </w:rPr>
        <w:lastRenderedPageBreak/>
        <w:t>Table S8. Three-station phase-specific paired profile-error differences</w:t>
      </w:r>
    </w:p>
    <w:tbl>
      <w:tblPr>
        <w:tblW w:w="9360" w:type="dxa"/>
        <w:tblInd w:w="120" w:type="dxa"/>
        <w:tblBorders>
          <w:top w:val="single" w:sz="6" w:space="0" w:color="auto"/>
          <w:left w:val="nil"/>
          <w:bottom w:val="single" w:sz="6" w:space="0" w:color="auto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656"/>
        <w:gridCol w:w="1440"/>
        <w:gridCol w:w="1440"/>
        <w:gridCol w:w="432"/>
        <w:gridCol w:w="1152"/>
        <w:gridCol w:w="2016"/>
        <w:gridCol w:w="1224"/>
      </w:tblGrid>
      <w:tr w:rsidR="00C03B1E" w14:paraId="3EE9C5FB" w14:textId="77777777">
        <w:trPr>
          <w:cantSplit/>
          <w:tblHeader/>
        </w:trPr>
        <w:tc>
          <w:tcPr>
            <w:tcW w:w="1656" w:type="dxa"/>
            <w:tcBorders>
              <w:bottom w:val="single" w:sz="6" w:space="0" w:color="auto"/>
            </w:tcBorders>
          </w:tcPr>
          <w:p w14:paraId="4B6234DD" w14:textId="77777777" w:rsidR="00C03B1E" w:rsidRDefault="00000000">
            <w:pPr>
              <w:keepNext/>
              <w:spacing w:before="80" w:after="80" w:line="264" w:lineRule="auto"/>
            </w:pPr>
            <w:r>
              <w:rPr>
                <w:rFonts w:ascii="Times New Roman" w:hAnsi="Times New Roman"/>
                <w:b/>
                <w:sz w:val="20"/>
              </w:rPr>
              <w:t>Source→target</w:t>
            </w:r>
          </w:p>
        </w:tc>
        <w:tc>
          <w:tcPr>
            <w:tcW w:w="1440" w:type="dxa"/>
            <w:tcBorders>
              <w:bottom w:val="single" w:sz="6" w:space="0" w:color="auto"/>
            </w:tcBorders>
          </w:tcPr>
          <w:p w14:paraId="1192DB74" w14:textId="77777777" w:rsidR="00C03B1E" w:rsidRDefault="00000000">
            <w:pPr>
              <w:keepNext/>
              <w:spacing w:before="80" w:after="80" w:line="264" w:lineRule="auto"/>
            </w:pPr>
            <w:r>
              <w:rPr>
                <w:rFonts w:ascii="Times New Roman" w:hAnsi="Times New Roman"/>
                <w:b/>
                <w:sz w:val="20"/>
              </w:rPr>
              <w:t>Layout</w:t>
            </w:r>
          </w:p>
        </w:tc>
        <w:tc>
          <w:tcPr>
            <w:tcW w:w="1440" w:type="dxa"/>
            <w:tcBorders>
              <w:bottom w:val="single" w:sz="6" w:space="0" w:color="auto"/>
            </w:tcBorders>
          </w:tcPr>
          <w:p w14:paraId="49F9AA76" w14:textId="77777777" w:rsidR="00C03B1E" w:rsidRDefault="00000000">
            <w:pPr>
              <w:keepNext/>
              <w:spacing w:before="80" w:after="80" w:line="264" w:lineRule="auto"/>
            </w:pPr>
            <w:r>
              <w:rPr>
                <w:rFonts w:ascii="Times New Roman" w:hAnsi="Times New Roman"/>
                <w:b/>
                <w:sz w:val="20"/>
              </w:rPr>
              <w:t>Phase</w:t>
            </w:r>
          </w:p>
        </w:tc>
        <w:tc>
          <w:tcPr>
            <w:tcW w:w="432" w:type="dxa"/>
            <w:tcBorders>
              <w:bottom w:val="single" w:sz="6" w:space="0" w:color="auto"/>
            </w:tcBorders>
          </w:tcPr>
          <w:p w14:paraId="0A0D48FD" w14:textId="77777777" w:rsidR="00C03B1E" w:rsidRDefault="00000000">
            <w:pPr>
              <w:keepNext/>
              <w:spacing w:before="80" w:after="80" w:line="264" w:lineRule="auto"/>
            </w:pPr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w="1152" w:type="dxa"/>
            <w:tcBorders>
              <w:bottom w:val="single" w:sz="6" w:space="0" w:color="auto"/>
            </w:tcBorders>
          </w:tcPr>
          <w:p w14:paraId="3AB5B667" w14:textId="77777777" w:rsidR="00C03B1E" w:rsidRDefault="00000000">
            <w:pPr>
              <w:keepNext/>
              <w:spacing w:before="80" w:after="80" w:line="264" w:lineRule="auto"/>
            </w:pPr>
            <w:r>
              <w:rPr>
                <w:rFonts w:ascii="Times New Roman" w:hAnsi="Times New Roman"/>
                <w:b/>
                <w:sz w:val="20"/>
              </w:rPr>
              <w:t>Median Δ</w:t>
            </w:r>
          </w:p>
        </w:tc>
        <w:tc>
          <w:tcPr>
            <w:tcW w:w="2016" w:type="dxa"/>
            <w:tcBorders>
              <w:bottom w:val="single" w:sz="6" w:space="0" w:color="auto"/>
            </w:tcBorders>
          </w:tcPr>
          <w:p w14:paraId="68235280" w14:textId="77777777" w:rsidR="00C03B1E" w:rsidRDefault="00000000">
            <w:pPr>
              <w:keepNext/>
              <w:spacing w:before="80" w:after="80" w:line="264" w:lineRule="auto"/>
            </w:pPr>
            <w:r>
              <w:rPr>
                <w:rFonts w:ascii="Times New Roman" w:hAnsi="Times New Roman"/>
                <w:b/>
                <w:sz w:val="20"/>
              </w:rPr>
              <w:t>Event range</w:t>
            </w:r>
          </w:p>
        </w:tc>
        <w:tc>
          <w:tcPr>
            <w:tcW w:w="1224" w:type="dxa"/>
            <w:tcBorders>
              <w:bottom w:val="single" w:sz="6" w:space="0" w:color="auto"/>
            </w:tcBorders>
          </w:tcPr>
          <w:p w14:paraId="2E20E479" w14:textId="77777777" w:rsidR="00C03B1E" w:rsidRDefault="00000000">
            <w:pPr>
              <w:keepNext/>
              <w:spacing w:before="80" w:after="80" w:line="264" w:lineRule="auto"/>
            </w:pPr>
            <w:r>
              <w:rPr>
                <w:rFonts w:ascii="Times New Roman" w:hAnsi="Times New Roman"/>
                <w:b/>
                <w:sz w:val="20"/>
              </w:rPr>
              <w:t>− / +</w:t>
            </w:r>
          </w:p>
        </w:tc>
      </w:tr>
      <w:tr w:rsidR="00C03B1E" w14:paraId="476DD393" w14:textId="77777777">
        <w:trPr>
          <w:cantSplit/>
        </w:trPr>
        <w:tc>
          <w:tcPr>
            <w:tcW w:w="1656" w:type="dxa"/>
          </w:tcPr>
          <w:p w14:paraId="295D07BA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SKS02→SKS03</w:t>
            </w:r>
          </w:p>
        </w:tc>
        <w:tc>
          <w:tcPr>
            <w:tcW w:w="1440" w:type="dxa"/>
          </w:tcPr>
          <w:p w14:paraId="70FE205E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Original</w:t>
            </w:r>
          </w:p>
        </w:tc>
        <w:tc>
          <w:tcPr>
            <w:tcW w:w="1440" w:type="dxa"/>
          </w:tcPr>
          <w:p w14:paraId="602CA005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shaking</w:t>
            </w:r>
          </w:p>
        </w:tc>
        <w:tc>
          <w:tcPr>
            <w:tcW w:w="432" w:type="dxa"/>
          </w:tcPr>
          <w:p w14:paraId="2B03D2FC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1152" w:type="dxa"/>
          </w:tcPr>
          <w:p w14:paraId="4CC1C7FE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−0.106</w:t>
            </w:r>
          </w:p>
        </w:tc>
        <w:tc>
          <w:tcPr>
            <w:tcW w:w="2016" w:type="dxa"/>
          </w:tcPr>
          <w:p w14:paraId="412228D3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−0.151 to −0.074</w:t>
            </w:r>
          </w:p>
        </w:tc>
        <w:tc>
          <w:tcPr>
            <w:tcW w:w="1224" w:type="dxa"/>
          </w:tcPr>
          <w:p w14:paraId="5685006A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5/0</w:t>
            </w:r>
          </w:p>
        </w:tc>
      </w:tr>
      <w:tr w:rsidR="00C03B1E" w14:paraId="336895BA" w14:textId="77777777">
        <w:trPr>
          <w:cantSplit/>
        </w:trPr>
        <w:tc>
          <w:tcPr>
            <w:tcW w:w="1656" w:type="dxa"/>
          </w:tcPr>
          <w:p w14:paraId="5B5A8BE9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SKS02→SKS03</w:t>
            </w:r>
          </w:p>
        </w:tc>
        <w:tc>
          <w:tcPr>
            <w:tcW w:w="1440" w:type="dxa"/>
          </w:tcPr>
          <w:p w14:paraId="3BB65DDC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Original</w:t>
            </w:r>
          </w:p>
        </w:tc>
        <w:tc>
          <w:tcPr>
            <w:tcW w:w="1440" w:type="dxa"/>
          </w:tcPr>
          <w:p w14:paraId="5E3B9032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before decay</w:t>
            </w:r>
          </w:p>
        </w:tc>
        <w:tc>
          <w:tcPr>
            <w:tcW w:w="432" w:type="dxa"/>
          </w:tcPr>
          <w:p w14:paraId="2E17AEC0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1152" w:type="dxa"/>
          </w:tcPr>
          <w:p w14:paraId="5D97B465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−0.115</w:t>
            </w:r>
          </w:p>
        </w:tc>
        <w:tc>
          <w:tcPr>
            <w:tcW w:w="2016" w:type="dxa"/>
          </w:tcPr>
          <w:p w14:paraId="1FF06CD2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−0.161 to −0.071</w:t>
            </w:r>
          </w:p>
        </w:tc>
        <w:tc>
          <w:tcPr>
            <w:tcW w:w="1224" w:type="dxa"/>
          </w:tcPr>
          <w:p w14:paraId="658B7DDE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5/0</w:t>
            </w:r>
          </w:p>
        </w:tc>
      </w:tr>
      <w:tr w:rsidR="00C03B1E" w14:paraId="3913B9B8" w14:textId="77777777">
        <w:trPr>
          <w:cantSplit/>
        </w:trPr>
        <w:tc>
          <w:tcPr>
            <w:tcW w:w="1656" w:type="dxa"/>
          </w:tcPr>
          <w:p w14:paraId="4E44BF82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SKS02→SKS03</w:t>
            </w:r>
          </w:p>
        </w:tc>
        <w:tc>
          <w:tcPr>
            <w:tcW w:w="1440" w:type="dxa"/>
          </w:tcPr>
          <w:p w14:paraId="3E73CE3F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Original</w:t>
            </w:r>
          </w:p>
        </w:tc>
        <w:tc>
          <w:tcPr>
            <w:tcW w:w="1440" w:type="dxa"/>
          </w:tcPr>
          <w:p w14:paraId="7BBC0F90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after decay</w:t>
            </w:r>
          </w:p>
        </w:tc>
        <w:tc>
          <w:tcPr>
            <w:tcW w:w="432" w:type="dxa"/>
          </w:tcPr>
          <w:p w14:paraId="78AE0EDB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1152" w:type="dxa"/>
          </w:tcPr>
          <w:p w14:paraId="487CD807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−0.098</w:t>
            </w:r>
          </w:p>
        </w:tc>
        <w:tc>
          <w:tcPr>
            <w:tcW w:w="2016" w:type="dxa"/>
          </w:tcPr>
          <w:p w14:paraId="787850BE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−0.154 to −0.066</w:t>
            </w:r>
          </w:p>
        </w:tc>
        <w:tc>
          <w:tcPr>
            <w:tcW w:w="1224" w:type="dxa"/>
          </w:tcPr>
          <w:p w14:paraId="3ABE7ED0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5/0</w:t>
            </w:r>
          </w:p>
        </w:tc>
      </w:tr>
      <w:tr w:rsidR="00C03B1E" w14:paraId="4147BFEA" w14:textId="77777777">
        <w:trPr>
          <w:cantSplit/>
        </w:trPr>
        <w:tc>
          <w:tcPr>
            <w:tcW w:w="1656" w:type="dxa"/>
          </w:tcPr>
          <w:p w14:paraId="44C89E9C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SKS02→SKS03</w:t>
            </w:r>
          </w:p>
        </w:tc>
        <w:tc>
          <w:tcPr>
            <w:tcW w:w="1440" w:type="dxa"/>
          </w:tcPr>
          <w:p w14:paraId="5F79AD8C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Both ends</w:t>
            </w:r>
          </w:p>
        </w:tc>
        <w:tc>
          <w:tcPr>
            <w:tcW w:w="1440" w:type="dxa"/>
          </w:tcPr>
          <w:p w14:paraId="5A03BCC2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shaking</w:t>
            </w:r>
          </w:p>
        </w:tc>
        <w:tc>
          <w:tcPr>
            <w:tcW w:w="432" w:type="dxa"/>
          </w:tcPr>
          <w:p w14:paraId="5C6D43B4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1152" w:type="dxa"/>
          </w:tcPr>
          <w:p w14:paraId="66CB3970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−0.128</w:t>
            </w:r>
          </w:p>
        </w:tc>
        <w:tc>
          <w:tcPr>
            <w:tcW w:w="2016" w:type="dxa"/>
          </w:tcPr>
          <w:p w14:paraId="1D6770DB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−0.207 to −0.071</w:t>
            </w:r>
          </w:p>
        </w:tc>
        <w:tc>
          <w:tcPr>
            <w:tcW w:w="1224" w:type="dxa"/>
          </w:tcPr>
          <w:p w14:paraId="24613C01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5/0</w:t>
            </w:r>
          </w:p>
        </w:tc>
      </w:tr>
      <w:tr w:rsidR="00C03B1E" w14:paraId="07751D32" w14:textId="77777777">
        <w:trPr>
          <w:cantSplit/>
        </w:trPr>
        <w:tc>
          <w:tcPr>
            <w:tcW w:w="1656" w:type="dxa"/>
          </w:tcPr>
          <w:p w14:paraId="789A4DC5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SKS02→SKS03</w:t>
            </w:r>
          </w:p>
        </w:tc>
        <w:tc>
          <w:tcPr>
            <w:tcW w:w="1440" w:type="dxa"/>
          </w:tcPr>
          <w:p w14:paraId="52A66FA2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Both ends</w:t>
            </w:r>
          </w:p>
        </w:tc>
        <w:tc>
          <w:tcPr>
            <w:tcW w:w="1440" w:type="dxa"/>
          </w:tcPr>
          <w:p w14:paraId="56157770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before decay</w:t>
            </w:r>
          </w:p>
        </w:tc>
        <w:tc>
          <w:tcPr>
            <w:tcW w:w="432" w:type="dxa"/>
          </w:tcPr>
          <w:p w14:paraId="1093D882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1152" w:type="dxa"/>
          </w:tcPr>
          <w:p w14:paraId="12E5BE62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−0.146</w:t>
            </w:r>
          </w:p>
        </w:tc>
        <w:tc>
          <w:tcPr>
            <w:tcW w:w="2016" w:type="dxa"/>
          </w:tcPr>
          <w:p w14:paraId="12C57033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−0.194 to −0.108</w:t>
            </w:r>
          </w:p>
        </w:tc>
        <w:tc>
          <w:tcPr>
            <w:tcW w:w="1224" w:type="dxa"/>
          </w:tcPr>
          <w:p w14:paraId="3B6E09A7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5/0</w:t>
            </w:r>
          </w:p>
        </w:tc>
      </w:tr>
      <w:tr w:rsidR="00C03B1E" w14:paraId="2E4767A0" w14:textId="77777777">
        <w:trPr>
          <w:cantSplit/>
        </w:trPr>
        <w:tc>
          <w:tcPr>
            <w:tcW w:w="1656" w:type="dxa"/>
          </w:tcPr>
          <w:p w14:paraId="32EDAC41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SKS02→SKS03</w:t>
            </w:r>
          </w:p>
        </w:tc>
        <w:tc>
          <w:tcPr>
            <w:tcW w:w="1440" w:type="dxa"/>
          </w:tcPr>
          <w:p w14:paraId="62F61014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Both ends</w:t>
            </w:r>
          </w:p>
        </w:tc>
        <w:tc>
          <w:tcPr>
            <w:tcW w:w="1440" w:type="dxa"/>
          </w:tcPr>
          <w:p w14:paraId="14D3C0A3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after decay</w:t>
            </w:r>
          </w:p>
        </w:tc>
        <w:tc>
          <w:tcPr>
            <w:tcW w:w="432" w:type="dxa"/>
          </w:tcPr>
          <w:p w14:paraId="1A91D9E0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1152" w:type="dxa"/>
          </w:tcPr>
          <w:p w14:paraId="686023BD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−0.116</w:t>
            </w:r>
          </w:p>
        </w:tc>
        <w:tc>
          <w:tcPr>
            <w:tcW w:w="2016" w:type="dxa"/>
          </w:tcPr>
          <w:p w14:paraId="4B4800CC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−0.172 to −0.089</w:t>
            </w:r>
          </w:p>
        </w:tc>
        <w:tc>
          <w:tcPr>
            <w:tcW w:w="1224" w:type="dxa"/>
          </w:tcPr>
          <w:p w14:paraId="2453649C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5/0</w:t>
            </w:r>
          </w:p>
        </w:tc>
      </w:tr>
      <w:tr w:rsidR="00C03B1E" w14:paraId="6D7F0BBC" w14:textId="77777777">
        <w:trPr>
          <w:cantSplit/>
        </w:trPr>
        <w:tc>
          <w:tcPr>
            <w:tcW w:w="1656" w:type="dxa"/>
          </w:tcPr>
          <w:p w14:paraId="045F2C63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SKS03→SKS02</w:t>
            </w:r>
          </w:p>
        </w:tc>
        <w:tc>
          <w:tcPr>
            <w:tcW w:w="1440" w:type="dxa"/>
          </w:tcPr>
          <w:p w14:paraId="52367B79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Original</w:t>
            </w:r>
          </w:p>
        </w:tc>
        <w:tc>
          <w:tcPr>
            <w:tcW w:w="1440" w:type="dxa"/>
          </w:tcPr>
          <w:p w14:paraId="0F2BC2ED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shaking</w:t>
            </w:r>
          </w:p>
        </w:tc>
        <w:tc>
          <w:tcPr>
            <w:tcW w:w="432" w:type="dxa"/>
          </w:tcPr>
          <w:p w14:paraId="1CE1BC24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w="1152" w:type="dxa"/>
          </w:tcPr>
          <w:p w14:paraId="1AFB73D8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+0.023</w:t>
            </w:r>
          </w:p>
        </w:tc>
        <w:tc>
          <w:tcPr>
            <w:tcW w:w="2016" w:type="dxa"/>
          </w:tcPr>
          <w:p w14:paraId="3B97D2E0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−0.044 to +0.057</w:t>
            </w:r>
          </w:p>
        </w:tc>
        <w:tc>
          <w:tcPr>
            <w:tcW w:w="1224" w:type="dxa"/>
          </w:tcPr>
          <w:p w14:paraId="4A81B810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2/4</w:t>
            </w:r>
          </w:p>
        </w:tc>
      </w:tr>
      <w:tr w:rsidR="00C03B1E" w14:paraId="525E92C0" w14:textId="77777777">
        <w:trPr>
          <w:cantSplit/>
        </w:trPr>
        <w:tc>
          <w:tcPr>
            <w:tcW w:w="1656" w:type="dxa"/>
          </w:tcPr>
          <w:p w14:paraId="3DF227E7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SKS03→SKS02</w:t>
            </w:r>
          </w:p>
        </w:tc>
        <w:tc>
          <w:tcPr>
            <w:tcW w:w="1440" w:type="dxa"/>
          </w:tcPr>
          <w:p w14:paraId="0DF1A575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Original</w:t>
            </w:r>
          </w:p>
        </w:tc>
        <w:tc>
          <w:tcPr>
            <w:tcW w:w="1440" w:type="dxa"/>
          </w:tcPr>
          <w:p w14:paraId="0A65397F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before decay</w:t>
            </w:r>
          </w:p>
        </w:tc>
        <w:tc>
          <w:tcPr>
            <w:tcW w:w="432" w:type="dxa"/>
          </w:tcPr>
          <w:p w14:paraId="685B7542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1152" w:type="dxa"/>
          </w:tcPr>
          <w:p w14:paraId="17AE40B1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+0.008</w:t>
            </w:r>
          </w:p>
        </w:tc>
        <w:tc>
          <w:tcPr>
            <w:tcW w:w="2016" w:type="dxa"/>
          </w:tcPr>
          <w:p w14:paraId="12F4865E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−0.044 to +0.057</w:t>
            </w:r>
          </w:p>
        </w:tc>
        <w:tc>
          <w:tcPr>
            <w:tcW w:w="1224" w:type="dxa"/>
          </w:tcPr>
          <w:p w14:paraId="49D3833D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2/3</w:t>
            </w:r>
          </w:p>
        </w:tc>
      </w:tr>
      <w:tr w:rsidR="00C03B1E" w14:paraId="7B5B8B7C" w14:textId="77777777">
        <w:trPr>
          <w:cantSplit/>
        </w:trPr>
        <w:tc>
          <w:tcPr>
            <w:tcW w:w="1656" w:type="dxa"/>
          </w:tcPr>
          <w:p w14:paraId="1130B68E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SKS03→SKS02</w:t>
            </w:r>
          </w:p>
        </w:tc>
        <w:tc>
          <w:tcPr>
            <w:tcW w:w="1440" w:type="dxa"/>
          </w:tcPr>
          <w:p w14:paraId="14D82128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Original</w:t>
            </w:r>
          </w:p>
        </w:tc>
        <w:tc>
          <w:tcPr>
            <w:tcW w:w="1440" w:type="dxa"/>
          </w:tcPr>
          <w:p w14:paraId="427CBE84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after decay</w:t>
            </w:r>
          </w:p>
        </w:tc>
        <w:tc>
          <w:tcPr>
            <w:tcW w:w="432" w:type="dxa"/>
          </w:tcPr>
          <w:p w14:paraId="46A5B6A1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1152" w:type="dxa"/>
          </w:tcPr>
          <w:p w14:paraId="5E5C0ECF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+0.012</w:t>
            </w:r>
          </w:p>
        </w:tc>
        <w:tc>
          <w:tcPr>
            <w:tcW w:w="2016" w:type="dxa"/>
          </w:tcPr>
          <w:p w14:paraId="0CB1109E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−0.042 to +0.045</w:t>
            </w:r>
          </w:p>
        </w:tc>
        <w:tc>
          <w:tcPr>
            <w:tcW w:w="1224" w:type="dxa"/>
          </w:tcPr>
          <w:p w14:paraId="7FD722B6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2/3</w:t>
            </w:r>
          </w:p>
        </w:tc>
      </w:tr>
      <w:tr w:rsidR="00C03B1E" w14:paraId="4096EF8F" w14:textId="77777777">
        <w:trPr>
          <w:cantSplit/>
        </w:trPr>
        <w:tc>
          <w:tcPr>
            <w:tcW w:w="1656" w:type="dxa"/>
          </w:tcPr>
          <w:p w14:paraId="02031F7E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SKS03→SKS02</w:t>
            </w:r>
          </w:p>
        </w:tc>
        <w:tc>
          <w:tcPr>
            <w:tcW w:w="1440" w:type="dxa"/>
          </w:tcPr>
          <w:p w14:paraId="4CDBD999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Both ends</w:t>
            </w:r>
          </w:p>
        </w:tc>
        <w:tc>
          <w:tcPr>
            <w:tcW w:w="1440" w:type="dxa"/>
          </w:tcPr>
          <w:p w14:paraId="29379E99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shaking</w:t>
            </w:r>
          </w:p>
        </w:tc>
        <w:tc>
          <w:tcPr>
            <w:tcW w:w="432" w:type="dxa"/>
          </w:tcPr>
          <w:p w14:paraId="55CC2028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w="1152" w:type="dxa"/>
          </w:tcPr>
          <w:p w14:paraId="12FA90CD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−0.013</w:t>
            </w:r>
          </w:p>
        </w:tc>
        <w:tc>
          <w:tcPr>
            <w:tcW w:w="2016" w:type="dxa"/>
          </w:tcPr>
          <w:p w14:paraId="3191BC06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−0.045 to −0.001</w:t>
            </w:r>
          </w:p>
        </w:tc>
        <w:tc>
          <w:tcPr>
            <w:tcW w:w="1224" w:type="dxa"/>
          </w:tcPr>
          <w:p w14:paraId="3EE70AD2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6/0</w:t>
            </w:r>
          </w:p>
        </w:tc>
      </w:tr>
      <w:tr w:rsidR="00C03B1E" w14:paraId="771D7E3C" w14:textId="77777777">
        <w:trPr>
          <w:cantSplit/>
        </w:trPr>
        <w:tc>
          <w:tcPr>
            <w:tcW w:w="1656" w:type="dxa"/>
          </w:tcPr>
          <w:p w14:paraId="79710F8C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SKS03→SKS02</w:t>
            </w:r>
          </w:p>
        </w:tc>
        <w:tc>
          <w:tcPr>
            <w:tcW w:w="1440" w:type="dxa"/>
          </w:tcPr>
          <w:p w14:paraId="016E5C75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Both ends</w:t>
            </w:r>
          </w:p>
        </w:tc>
        <w:tc>
          <w:tcPr>
            <w:tcW w:w="1440" w:type="dxa"/>
          </w:tcPr>
          <w:p w14:paraId="01DDABE1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before decay</w:t>
            </w:r>
          </w:p>
        </w:tc>
        <w:tc>
          <w:tcPr>
            <w:tcW w:w="432" w:type="dxa"/>
          </w:tcPr>
          <w:p w14:paraId="30179322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1152" w:type="dxa"/>
          </w:tcPr>
          <w:p w14:paraId="13744DC4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−0.020</w:t>
            </w:r>
          </w:p>
        </w:tc>
        <w:tc>
          <w:tcPr>
            <w:tcW w:w="2016" w:type="dxa"/>
          </w:tcPr>
          <w:p w14:paraId="6FD80B30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−0.042 to −0.002</w:t>
            </w:r>
          </w:p>
        </w:tc>
        <w:tc>
          <w:tcPr>
            <w:tcW w:w="1224" w:type="dxa"/>
          </w:tcPr>
          <w:p w14:paraId="4E3234B9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5/0</w:t>
            </w:r>
          </w:p>
        </w:tc>
      </w:tr>
      <w:tr w:rsidR="00C03B1E" w14:paraId="24306FE0" w14:textId="77777777">
        <w:trPr>
          <w:cantSplit/>
        </w:trPr>
        <w:tc>
          <w:tcPr>
            <w:tcW w:w="1656" w:type="dxa"/>
          </w:tcPr>
          <w:p w14:paraId="4180CC9E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SKS03→SKS02</w:t>
            </w:r>
          </w:p>
        </w:tc>
        <w:tc>
          <w:tcPr>
            <w:tcW w:w="1440" w:type="dxa"/>
          </w:tcPr>
          <w:p w14:paraId="053696F4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Both ends</w:t>
            </w:r>
          </w:p>
        </w:tc>
        <w:tc>
          <w:tcPr>
            <w:tcW w:w="1440" w:type="dxa"/>
          </w:tcPr>
          <w:p w14:paraId="1A49C20B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after decay</w:t>
            </w:r>
          </w:p>
        </w:tc>
        <w:tc>
          <w:tcPr>
            <w:tcW w:w="432" w:type="dxa"/>
          </w:tcPr>
          <w:p w14:paraId="1AA5EAB4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1152" w:type="dxa"/>
          </w:tcPr>
          <w:p w14:paraId="6A29B289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−0.004</w:t>
            </w:r>
          </w:p>
        </w:tc>
        <w:tc>
          <w:tcPr>
            <w:tcW w:w="2016" w:type="dxa"/>
          </w:tcPr>
          <w:p w14:paraId="5CB325FB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−0.033 to +0.005</w:t>
            </w:r>
          </w:p>
        </w:tc>
        <w:tc>
          <w:tcPr>
            <w:tcW w:w="1224" w:type="dxa"/>
          </w:tcPr>
          <w:p w14:paraId="5FC503D2" w14:textId="77777777" w:rsidR="00C03B1E" w:rsidRDefault="00000000">
            <w:pPr>
              <w:spacing w:before="80" w:after="80" w:line="264" w:lineRule="auto"/>
            </w:pPr>
            <w:r>
              <w:rPr>
                <w:rFonts w:ascii="Times New Roman" w:hAnsi="Times New Roman"/>
                <w:sz w:val="20"/>
              </w:rPr>
              <w:t>3/2</w:t>
            </w:r>
          </w:p>
        </w:tc>
      </w:tr>
    </w:tbl>
    <w:p w14:paraId="71409D05" w14:textId="77777777" w:rsidR="00C03B1E" w:rsidRDefault="00000000" w:rsidP="00D43FEC">
      <w:pPr>
        <w:jc w:val="both"/>
      </w:pPr>
      <w:r>
        <w:rPr>
          <w:rFonts w:ascii="Times New Roman" w:hAnsi="Times New Roman"/>
          <w:sz w:val="20"/>
        </w:rPr>
        <w:t>Source: Sinha et al. (2020a, b). Δ is candidate-minus-uniform phase p90 NRMSE after within-earthquake pile aggregation. Negative values favour the candidate. n counts earthquakes; −/+ counts strict event signs, not equivalence classes. Original and boundary-retained layouts were fixed before phase scoring. The small reverse after-decay median includes three lower-error and two higher-error events; it is not evidence of uniformly favourable transfer.</w:t>
      </w:r>
    </w:p>
    <w:p w14:paraId="56D4AEF1" w14:textId="77777777" w:rsidR="00C03B1E" w:rsidRDefault="00000000">
      <w:pPr>
        <w:keepNext/>
        <w:pageBreakBefore/>
      </w:pPr>
      <w:r>
        <w:rPr>
          <w:rFonts w:ascii="Times New Roman" w:hAnsi="Times New Roman"/>
          <w:b/>
          <w:sz w:val="20"/>
        </w:rPr>
        <w:lastRenderedPageBreak/>
        <w:t>Mirabello evidence qualification</w:t>
      </w:r>
    </w:p>
    <w:p w14:paraId="38484392" w14:textId="77777777" w:rsidR="00C03B1E" w:rsidRDefault="00000000" w:rsidP="00D43FEC">
      <w:pPr>
        <w:jc w:val="both"/>
      </w:pPr>
      <w:r>
        <w:rPr>
          <w:rFonts w:ascii="Times New Roman" w:hAnsi="Times New Roman"/>
          <w:sz w:val="20"/>
        </w:rPr>
        <w:t>Lusvardi (2020) reports a 17-m-long, 0.25-m-diameter bored, grouted micropile at Mirabello, Italy. The thesis identifies a post-blast acquisition interruption of approximately five minutes, a subsequent strain-baseline adjustment and drift-related exclusions. Strain-derived load is retained only above 6.2 m and for the first 15 min (printed pp. 148–149). The final deeper profile combines CAPWAP side resistance, an assumed toe load and a neutral plane estimated from settlement compatibility (pp. 154–155; Fig. 7-13). Those deeper estimates cannot be treated as independent measured axial-load observations.</w:t>
      </w:r>
    </w:p>
    <w:p w14:paraId="475500B8" w14:textId="77777777" w:rsidR="00C03B1E" w:rsidRDefault="00000000" w:rsidP="00D43FEC">
      <w:pPr>
        <w:jc w:val="both"/>
      </w:pPr>
      <w:r>
        <w:rPr>
          <w:rFonts w:ascii="Times New Roman" w:hAnsi="Times New Roman"/>
          <w:sz w:val="20"/>
        </w:rPr>
        <w:t>The downloaded thesis supplies neither a complete, uninterrupted, synchronised depth-wise axial-load time history nor an independently measured deeper profile for the stated transfer test. It is retained as source qualification and physical context, not added to the measured benchmark. A future dynamic field test requires quality-qualified simultaneous axial-load histories at sufficient depths, gauge geometry and calibration, input motion, pore-pressure records and acquisition/baseline metadata. A synthetic or CAPWAP-derived profile could test software under its assumptions, but could not close this experimental validation gap.</w:t>
      </w:r>
    </w:p>
    <w:p w14:paraId="23097407" w14:textId="77777777" w:rsidR="00C03B1E" w:rsidRDefault="00000000" w:rsidP="00D43FEC">
      <w:pPr>
        <w:keepNext/>
        <w:keepLines/>
        <w:pageBreakBefore/>
        <w:jc w:val="both"/>
      </w:pPr>
      <w:r>
        <w:rPr>
          <w:rFonts w:ascii="Times New Roman" w:hAnsi="Times New Roman"/>
          <w:sz w:val="20"/>
        </w:rPr>
        <w:lastRenderedPageBreak/>
        <w:t>Fig. S1. Forward-sequence evaluation after selecting and freezing each layout from EQM1. Each point is the median across available piles within the later earthquake. Negative candidate-minus-uniform p90 NRMSE favours the frozen layout; the zero line denotes a tie. Source: Data from Sinha et al. (2020a, b).</w:t>
      </w:r>
    </w:p>
    <w:p w14:paraId="3CB4FA93" w14:textId="77777777" w:rsidR="00C03B1E" w:rsidRDefault="00000000">
      <w:r>
        <w:rPr>
          <w:noProof/>
        </w:rPr>
        <w:drawing>
          <wp:inline distT="0" distB="0" distL="0" distR="0" wp14:anchorId="6959607E" wp14:editId="24D7AFB2">
            <wp:extent cx="5943600" cy="3566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orward_sequence_1200dpi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D9E91" w14:textId="77777777" w:rsidR="00C03B1E" w:rsidRDefault="00000000" w:rsidP="00D43FEC">
      <w:pPr>
        <w:keepNext/>
        <w:keepLines/>
        <w:pageBreakBefore/>
        <w:jc w:val="both"/>
      </w:pPr>
      <w:r>
        <w:rPr>
          <w:rFonts w:ascii="Times New Roman" w:hAnsi="Times New Roman"/>
          <w:b/>
          <w:sz w:val="20"/>
        </w:rPr>
        <w:lastRenderedPageBreak/>
        <w:t xml:space="preserve">Fig. S2. </w:t>
      </w:r>
      <w:r>
        <w:rPr>
          <w:rFonts w:ascii="Times New Roman" w:hAnsi="Times New Roman"/>
          <w:sz w:val="20"/>
        </w:rPr>
        <w:t>Robustness envelopes across four smoothing choices and three NRMSE floors. Points denote the implemented nominal specification; vertical ranges show the minimum and maximum median paired change across all 12 specifications. These are specification envelopes, not confidence intervals. Source: Data from Sinha et al. (2020a, b).</w:t>
      </w:r>
    </w:p>
    <w:p w14:paraId="6DB8C6E3" w14:textId="77777777" w:rsidR="00C03B1E" w:rsidRDefault="00000000">
      <w:r>
        <w:rPr>
          <w:noProof/>
        </w:rPr>
        <w:drawing>
          <wp:inline distT="0" distB="0" distL="0" distR="0" wp14:anchorId="017C050D" wp14:editId="0DDA7ED8">
            <wp:extent cx="5943600" cy="35661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ensitivity_envelope_1200dpi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2E4BB" w14:textId="77777777" w:rsidR="00C03B1E" w:rsidRDefault="00000000" w:rsidP="00D43FEC">
      <w:pPr>
        <w:keepNext/>
        <w:keepLines/>
        <w:pageBreakBefore/>
        <w:jc w:val="both"/>
      </w:pPr>
      <w:r>
        <w:rPr>
          <w:rFonts w:ascii="Times New Roman" w:hAnsi="Times New Roman"/>
          <w:sz w:val="20"/>
        </w:rPr>
        <w:lastRenderedPageBreak/>
        <w:t>Fig. S3. Co-located physical-regime descriptors and transfer error for the three-added-station comparison. Panels distinguish the centrifuge tests; labels identify earthquakes. Pore-pressure ratio describes the observed test envelope only. No regression significance or causal relation is claimed. Source: Data from Sinha et al. (2020a, b).</w:t>
      </w:r>
    </w:p>
    <w:p w14:paraId="3DFDB3EC" w14:textId="77777777" w:rsidR="00C03B1E" w:rsidRDefault="00000000">
      <w:r>
        <w:rPr>
          <w:noProof/>
        </w:rPr>
        <w:drawing>
          <wp:inline distT="0" distB="0" distL="0" distR="0" wp14:anchorId="1240E403" wp14:editId="5E780744">
            <wp:extent cx="5943600" cy="35661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environment_coupling_1200dp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C4458" w14:textId="77777777" w:rsidR="00C03B1E" w:rsidRDefault="00000000" w:rsidP="00D43FEC">
      <w:pPr>
        <w:keepNext/>
        <w:pageBreakBefore/>
        <w:jc w:val="both"/>
      </w:pPr>
      <w:r>
        <w:rPr>
          <w:rFonts w:ascii="Times New Roman" w:hAnsi="Times New Roman"/>
          <w:b/>
          <w:sz w:val="20"/>
        </w:rPr>
        <w:lastRenderedPageBreak/>
        <w:t xml:space="preserve">Fig. S4. </w:t>
      </w:r>
      <w:r>
        <w:rPr>
          <w:rFonts w:ascii="Times New Roman" w:hAnsi="Times New Roman"/>
          <w:sz w:val="20"/>
        </w:rPr>
        <w:t>Phase-specific transfer of frozen three-station layouts. Dots show paired earthquake-level differences in phase p90 profile NRMSE; black bars show their medians. Original and boundary-retained layouts share the equal-budget uniform comparator. The decay boundary is a sustained reduction below half the reference pressure-proxy peak, not complete dissipation. Five post-shaking events are available in each direction because SKS02 EQM1 has weak pressure response; shaking uses six SKS02 and five SKS03 events. The 120-snapshot, elapsed-time-smoothed setting is shown; full sensitivities and peak-response errors are provided as CSV files. Source: Sinha et al. (2020a, b).</w:t>
      </w:r>
    </w:p>
    <w:p w14:paraId="2B06B51E" w14:textId="77777777" w:rsidR="00C03B1E" w:rsidRDefault="00000000">
      <w:pPr>
        <w:spacing w:line="240" w:lineRule="auto"/>
      </w:pPr>
      <w:r>
        <w:rPr>
          <w:noProof/>
        </w:rPr>
        <w:drawing>
          <wp:inline distT="0" distB="0" distL="0" distR="0" wp14:anchorId="3DBB986D" wp14:editId="60D37226">
            <wp:extent cx="5943600" cy="35003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hase_transfer_1200dp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0EE0" w14:textId="77777777" w:rsidR="00C03B1E" w:rsidRDefault="00000000">
      <w:r>
        <w:rPr>
          <w:rFonts w:ascii="Times New Roman" w:hAnsi="Times New Roman"/>
          <w:b/>
          <w:sz w:val="20"/>
        </w:rPr>
        <w:t>References for supplementary material</w:t>
      </w:r>
    </w:p>
    <w:p w14:paraId="48CA6C16" w14:textId="77777777" w:rsidR="00C03B1E" w:rsidRDefault="00000000">
      <w:r>
        <w:rPr>
          <w:rFonts w:ascii="Times New Roman" w:hAnsi="Times New Roman"/>
          <w:sz w:val="20"/>
        </w:rPr>
        <w:t>Duffy, K., K. Gavin, M. Korff, and D. de Lange. 2024. “Base resistance of screw displacement piles in sand.” Journal of Geotechnical and Geoenvironmental Engineering 150 (8): 04024070. https://doi.org/10.1061/JGGEFK.GTENG-12340.</w:t>
      </w:r>
    </w:p>
    <w:p w14:paraId="18A15120" w14:textId="77777777" w:rsidR="00C03B1E" w:rsidRDefault="00000000">
      <w:r>
        <w:rPr>
          <w:rFonts w:ascii="Times New Roman" w:hAnsi="Times New Roman"/>
          <w:sz w:val="20"/>
        </w:rPr>
        <w:t>Duffy, K., K. G. Gavin, D. A. de Lange, and M. Korff. 2025. “Static load tests on screw injection piles with distributed fibre optic sensors in Delft.” Dataset. 4TU.ResearchData. https://doi.org/10.4121/78720ecb-daf4-4676-b5f4-281e93e4388a.</w:t>
      </w:r>
    </w:p>
    <w:p w14:paraId="7FB1F6E3" w14:textId="77777777" w:rsidR="00C03B1E" w:rsidRDefault="00000000">
      <w:r>
        <w:rPr>
          <w:rFonts w:ascii="Times New Roman" w:hAnsi="Times New Roman"/>
          <w:sz w:val="20"/>
        </w:rPr>
        <w:t>Lusvardi, C. M. 2020. “Blast-Induced Liquefaction and Downdrag Development on a Micropile Foundation.” M.S. thesis, Brigham Young University, Provo, UT. https://scholarsarchive.byu.edu/etd/8769/.</w:t>
      </w:r>
    </w:p>
    <w:sectPr w:rsidR="00C03B1E" w:rsidSect="00BA1411">
      <w:footerReference w:type="default" r:id="rId11"/>
      <w:pgSz w:w="12240" w:h="15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4C69D" w14:textId="77777777" w:rsidR="002D7E4A" w:rsidRDefault="002D7E4A">
      <w:pPr>
        <w:spacing w:line="240" w:lineRule="auto"/>
      </w:pPr>
      <w:r>
        <w:separator/>
      </w:r>
    </w:p>
  </w:endnote>
  <w:endnote w:type="continuationSeparator" w:id="0">
    <w:p w14:paraId="1952F34A" w14:textId="77777777" w:rsidR="002D7E4A" w:rsidRDefault="002D7E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6BFA8" w14:textId="77777777" w:rsidR="00C03B1E" w:rsidRDefault="00000000">
    <w:pPr>
      <w:jc w:val="center"/>
    </w:pPr>
    <w:r>
      <w:t>S-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53042" w14:textId="77777777" w:rsidR="002D7E4A" w:rsidRDefault="002D7E4A">
      <w:pPr>
        <w:spacing w:line="240" w:lineRule="auto"/>
      </w:pPr>
      <w:r>
        <w:separator/>
      </w:r>
    </w:p>
  </w:footnote>
  <w:footnote w:type="continuationSeparator" w:id="0">
    <w:p w14:paraId="572C9253" w14:textId="77777777" w:rsidR="002D7E4A" w:rsidRDefault="002D7E4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formatting="1" w:enforcement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411"/>
    <w:rsid w:val="000430F8"/>
    <w:rsid w:val="0006504B"/>
    <w:rsid w:val="0007115B"/>
    <w:rsid w:val="000B5589"/>
    <w:rsid w:val="000E3105"/>
    <w:rsid w:val="001376DF"/>
    <w:rsid w:val="001420FD"/>
    <w:rsid w:val="001A654E"/>
    <w:rsid w:val="002656D7"/>
    <w:rsid w:val="00272D73"/>
    <w:rsid w:val="00290E3A"/>
    <w:rsid w:val="0029211A"/>
    <w:rsid w:val="002D7E4A"/>
    <w:rsid w:val="003847DB"/>
    <w:rsid w:val="003B18F2"/>
    <w:rsid w:val="00486693"/>
    <w:rsid w:val="0051153D"/>
    <w:rsid w:val="005532D9"/>
    <w:rsid w:val="005C215F"/>
    <w:rsid w:val="005D32BE"/>
    <w:rsid w:val="005D6E31"/>
    <w:rsid w:val="005E0D90"/>
    <w:rsid w:val="005E7E03"/>
    <w:rsid w:val="005F1340"/>
    <w:rsid w:val="007467CC"/>
    <w:rsid w:val="00756310"/>
    <w:rsid w:val="007605B3"/>
    <w:rsid w:val="007779C2"/>
    <w:rsid w:val="007E5B8D"/>
    <w:rsid w:val="00842756"/>
    <w:rsid w:val="00856167"/>
    <w:rsid w:val="00873BA4"/>
    <w:rsid w:val="0089600B"/>
    <w:rsid w:val="00897AE4"/>
    <w:rsid w:val="008A4D1B"/>
    <w:rsid w:val="008D2375"/>
    <w:rsid w:val="008D78AE"/>
    <w:rsid w:val="008E4F9C"/>
    <w:rsid w:val="008E5153"/>
    <w:rsid w:val="008E7BE4"/>
    <w:rsid w:val="0091183F"/>
    <w:rsid w:val="00917152"/>
    <w:rsid w:val="00963DAB"/>
    <w:rsid w:val="009A7383"/>
    <w:rsid w:val="009B0748"/>
    <w:rsid w:val="009E4626"/>
    <w:rsid w:val="00A23052"/>
    <w:rsid w:val="00A23A11"/>
    <w:rsid w:val="00A26452"/>
    <w:rsid w:val="00A5662D"/>
    <w:rsid w:val="00AC0BDD"/>
    <w:rsid w:val="00AF5B07"/>
    <w:rsid w:val="00B7324C"/>
    <w:rsid w:val="00B86751"/>
    <w:rsid w:val="00B871D1"/>
    <w:rsid w:val="00BA1411"/>
    <w:rsid w:val="00BA2A27"/>
    <w:rsid w:val="00BE24E1"/>
    <w:rsid w:val="00C03B1E"/>
    <w:rsid w:val="00C3077A"/>
    <w:rsid w:val="00C811BB"/>
    <w:rsid w:val="00C87EBB"/>
    <w:rsid w:val="00CD4B0C"/>
    <w:rsid w:val="00D20F20"/>
    <w:rsid w:val="00D43FEC"/>
    <w:rsid w:val="00D56B73"/>
    <w:rsid w:val="00D720C2"/>
    <w:rsid w:val="00DD5BDF"/>
    <w:rsid w:val="00DE5E92"/>
    <w:rsid w:val="00DF4162"/>
    <w:rsid w:val="00E01177"/>
    <w:rsid w:val="00E22FF6"/>
    <w:rsid w:val="00E56718"/>
    <w:rsid w:val="00E75B10"/>
    <w:rsid w:val="00EC1AFD"/>
    <w:rsid w:val="00F42312"/>
    <w:rsid w:val="00F46EB6"/>
    <w:rsid w:val="00F62198"/>
    <w:rsid w:val="00F62516"/>
    <w:rsid w:val="00F62FB1"/>
    <w:rsid w:val="00F77BE3"/>
    <w:rsid w:val="00F82F6D"/>
    <w:rsid w:val="00FE0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7EEC1B"/>
  <w15:chartTrackingRefBased/>
  <w15:docId w15:val="{9A56C8A9-C23C-4BB9-9470-C99B23B9B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480" w:lineRule="auto"/>
    </w:pPr>
    <w:rPr>
      <w:rFonts w:ascii="Calibri" w:hAnsi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LineNumber">
    <w:name w:val="line number"/>
    <w:basedOn w:val="DefaultParagraphFont"/>
    <w:uiPriority w:val="99"/>
    <w:semiHidden/>
    <w:unhideWhenUsed/>
    <w:rsid w:val="00BA1411"/>
  </w:style>
  <w:style w:type="character" w:styleId="Hyperlink">
    <w:name w:val="Hyperlink"/>
    <w:basedOn w:val="DefaultParagraphFont"/>
    <w:uiPriority w:val="99"/>
    <w:unhideWhenUsed/>
    <w:rsid w:val="00C3077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077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D5BDF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DE5E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E5E9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E5E9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5E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5E92"/>
    <w:rPr>
      <w:b/>
      <w:bCs/>
      <w:sz w:val="20"/>
      <w:szCs w:val="20"/>
    </w:rPr>
  </w:style>
  <w:style w:type="paragraph" w:customStyle="1" w:styleId="Default">
    <w:name w:val="Default"/>
    <w:rsid w:val="00C87EB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5F1340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8E5153"/>
    <w:pPr>
      <w:spacing w:after="0" w:line="240" w:lineRule="auto"/>
    </w:pPr>
  </w:style>
  <w:style w:type="paragraph" w:styleId="NoSpacing">
    <w:name w:val="No Spacing"/>
    <w:uiPriority w:val="1"/>
    <w:qFormat/>
    <w:rsid w:val="00EC1AFD"/>
    <w:pPr>
      <w:spacing w:after="0" w:line="240" w:lineRule="auto"/>
    </w:pPr>
    <w:rPr>
      <w:rFonts w:ascii="Calibri" w:hAnsi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7DBA7-5696-4738-9A90-4683695767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2718</Words>
  <Characters>15496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Target-Response-Blind Portability Audit of Sparse Axial-Load Monitoring Layouts for Piles under Liquefaction-Induced Downdrag</dc:title>
  <dc:subject>Cross-regime and cross-scale portability of sparse axial-load monitoring layouts</dc:subject>
  <dc:creator>Amrendra Bharti;Shiva Shankar Choudhary</dc:creator>
  <cp:keywords>pile foundations; liquefaction-induced downdrag; sensor placement; portability; open data</cp:keywords>
  <dc:description/>
  <cp:lastModifiedBy>AMRENDRA BHARTI</cp:lastModifiedBy>
  <cp:revision>2</cp:revision>
  <dcterms:created xsi:type="dcterms:W3CDTF">2026-08-29T10:23:00Z</dcterms:created>
  <dcterms:modified xsi:type="dcterms:W3CDTF">2026-08-29T10:23:00Z</dcterms:modified>
</cp:coreProperties>
</file>