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Supplementary material appendix 1: submission support</w:t>
      </w:r>
    </w:p>
    <w:p>
      <w:r>
        <w:t>This supplementary note retains non-essential submission support material removed from the main text to align the manuscript more closely with the Ground Improvement author guidance.</w:t>
      </w:r>
    </w:p>
    <w:p>
      <w:pPr>
        <w:pStyle w:val="Heading2"/>
      </w:pPr>
      <w:r>
        <w:t>Original highlights retained for editorial use</w:t>
      </w:r>
    </w:p>
    <w:p>
      <w:pPr>
        <w:pStyle w:val="ListBullet"/>
      </w:pPr>
      <w:r>
        <w:t>The final curated database combines laboratory unconfined compressive strength and California bearing ratio observations with a negative-control test using regional soil-health context, showing that macro-regional agricultural descriptors provide only marginal mechanical benefit compared with specimen-level geotechnical, mineralogical and chemical variables.</w:t>
      </w:r>
    </w:p>
    <w:p>
      <w:pPr>
        <w:pStyle w:val="ListBullet"/>
      </w:pPr>
      <w:r>
        <w:t>A real-only literature dataset was curated for stabilised-soil unconfined compressive strength and California bearing ratio screening.</w:t>
      </w:r>
    </w:p>
    <w:p>
      <w:pPr>
        <w:pStyle w:val="ListBullet"/>
      </w:pPr>
      <w:r>
        <w:t>Grouped-source validation quantified transfer loss across independent experimental sources.</w:t>
      </w:r>
    </w:p>
    <w:p>
      <w:pPr>
        <w:pStyle w:val="ListBullet"/>
      </w:pPr>
      <w:r>
        <w:t>Model configuration, thresholds and uncertainty were reported for reproducibility.</w:t>
      </w:r>
    </w:p>
    <w:p>
      <w:pPr>
        <w:pStyle w:val="ListBullet"/>
      </w:pPr>
      <w:r>
        <w:t>Synthetic augmentation gave limited California bearing ratio gains and was restricted to training folds.</w:t>
      </w:r>
    </w:p>
    <w:p>
      <w:pPr>
        <w:pStyle w:val="ListBullet"/>
      </w:pPr>
      <w:r>
        <w:t>Embodied-emissions-aware Pareto screening produced practical shortlists for laboratory verification.</w:t>
      </w:r>
    </w:p>
    <w:p>
      <w:r>
        <w:t>The accompanying dataset and high-resolution figure files are provided separately as datasets_used_in_paper.zip and publication_figures_600dpi.zip.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