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7C7" w:rsidRPr="004C77C7" w:rsidRDefault="004C77C7">
      <w:pPr>
        <w:rPr>
          <w:rFonts w:ascii="inherit" w:eastAsia="Times New Roman" w:hAnsi="inherit" w:cs="Times New Roman"/>
          <w:b/>
          <w:bCs/>
          <w:color w:val="0070C0"/>
          <w:sz w:val="45"/>
          <w:szCs w:val="45"/>
          <w:bdr w:val="none" w:sz="0" w:space="0" w:color="auto" w:frame="1"/>
        </w:rPr>
      </w:pPr>
      <w:bookmarkStart w:id="0" w:name="_GoBack"/>
      <w:r w:rsidRPr="004C77C7">
        <w:rPr>
          <w:rFonts w:ascii="inherit" w:eastAsia="Times New Roman" w:hAnsi="inherit" w:cs="Times New Roman"/>
          <w:b/>
          <w:bCs/>
          <w:color w:val="0070C0"/>
          <w:sz w:val="45"/>
          <w:szCs w:val="45"/>
          <w:bdr w:val="none" w:sz="0" w:space="0" w:color="auto" w:frame="1"/>
        </w:rPr>
        <w:t>Setting up The Centre of Excellence for RPA</w:t>
      </w:r>
    </w:p>
    <w:bookmarkEnd w:id="0"/>
    <w:p w:rsidR="004C77C7" w:rsidRDefault="004C77C7">
      <w:pPr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4C77C7" w:rsidRPr="004C77C7" w:rsidRDefault="004C77C7">
      <w:pPr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</w:pPr>
    </w:p>
    <w:p w:rsidR="00137392" w:rsidRDefault="00137392">
      <w:r w:rsidRPr="00D93B1B"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  <w:t>Introduction</w:t>
      </w:r>
    </w:p>
    <w:p w:rsidR="00D93B1B" w:rsidRPr="00D93B1B" w:rsidRDefault="00D93B1B" w:rsidP="00D93B1B">
      <w:pPr>
        <w:spacing w:after="36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CoE is the heart of RPA implementation &amp; </w:t>
      </w:r>
      <w:r w:rsidR="004C77C7">
        <w:rPr>
          <w:rFonts w:ascii="&amp;quot" w:eastAsia="Times New Roman" w:hAnsi="&amp;quot" w:cs="Times New Roman"/>
          <w:color w:val="3A3A3A"/>
          <w:sz w:val="26"/>
          <w:szCs w:val="26"/>
        </w:rPr>
        <w:t>strategic planning. This document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 gives a complete insight into:</w:t>
      </w:r>
    </w:p>
    <w:p w:rsidR="00D93B1B" w:rsidRPr="00D93B1B" w:rsidRDefault="00D93B1B" w:rsidP="00D93B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What is the RPA Center of Excellence (CoE)?</w:t>
      </w:r>
    </w:p>
    <w:p w:rsidR="00D93B1B" w:rsidRPr="00D93B1B" w:rsidRDefault="00D93B1B" w:rsidP="00D93B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How to setup RPA CoE?</w:t>
      </w:r>
    </w:p>
    <w:p w:rsidR="00D93B1B" w:rsidRPr="00D93B1B" w:rsidRDefault="00D93B1B" w:rsidP="00D93B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What are RPA CoE Operating models?</w:t>
      </w:r>
    </w:p>
    <w:p w:rsidR="00D93B1B" w:rsidRPr="00D93B1B" w:rsidRDefault="00D93B1B" w:rsidP="00D93B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Key roles &amp; responsibilities</w:t>
      </w:r>
    </w:p>
    <w:p w:rsidR="00D93B1B" w:rsidRPr="00D93B1B" w:rsidRDefault="00D93B1B" w:rsidP="00D93B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RPA CoE team’s setup?</w:t>
      </w:r>
    </w:p>
    <w:p w:rsidR="00D93B1B" w:rsidRDefault="00D93B1B" w:rsidP="00D93B1B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What is the RPA CoE framework?</w:t>
      </w:r>
    </w:p>
    <w:p w:rsidR="00137392" w:rsidRDefault="00137392" w:rsidP="00137392">
      <w:pPr>
        <w:spacing w:after="0" w:line="240" w:lineRule="auto"/>
        <w:ind w:left="720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137392" w:rsidRPr="00D93B1B" w:rsidRDefault="00137392" w:rsidP="00137392">
      <w:pPr>
        <w:spacing w:after="0" w:line="288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</w:pPr>
      <w:r w:rsidRPr="00D93B1B"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  <w:t>CoE – Center of Excellence</w:t>
      </w:r>
    </w:p>
    <w:p w:rsidR="00137392" w:rsidRDefault="00137392" w:rsidP="00137392">
      <w:pPr>
        <w:spacing w:after="0" w:line="240" w:lineRule="auto"/>
        <w:ind w:left="720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137392" w:rsidRPr="00D93B1B" w:rsidRDefault="00137392" w:rsidP="00137392">
      <w:pPr>
        <w:spacing w:after="0" w:line="240" w:lineRule="auto"/>
        <w:ind w:left="720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Pr="00D93B1B" w:rsidRDefault="00D93B1B" w:rsidP="00D93B1B">
      <w:pPr>
        <w:spacing w:after="36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It is pivotal to scaling and acts as the hub for RPA implementation. RPA is a joint effort with IT &amp; Business collaboration. The CoE will set success parameters and goals for RPA implementation, optimize the digital workforce, identify and qualify the best business processes for automation.</w:t>
      </w:r>
    </w:p>
    <w:p w:rsidR="00D93B1B" w:rsidRPr="00D93B1B" w:rsidRDefault="00D93B1B" w:rsidP="00D93B1B">
      <w:pPr>
        <w:spacing w:after="36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The CoE is the governance model to lead and direct the RPA initiative to maximize the Return on Investment.</w:t>
      </w:r>
    </w:p>
    <w:p w:rsidR="00D93B1B" w:rsidRPr="00D93B1B" w:rsidRDefault="00D93B1B" w:rsidP="00D93B1B">
      <w:pPr>
        <w:spacing w:after="36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 </w:t>
      </w:r>
    </w:p>
    <w:p w:rsidR="00D93B1B" w:rsidRP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Below are the </w:t>
      </w: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>key objectives of the CoE:</w:t>
      </w:r>
    </w:p>
    <w:p w:rsidR="00D93B1B" w:rsidRPr="00D93B1B" w:rsidRDefault="00D93B1B" w:rsidP="00D93B1B">
      <w:pPr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Standardization</w:t>
      </w:r>
    </w:p>
    <w:p w:rsidR="00D93B1B" w:rsidRPr="00D93B1B" w:rsidRDefault="00D93B1B" w:rsidP="00D93B1B">
      <w:pPr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Widespread adoption of the digital workforce</w:t>
      </w:r>
    </w:p>
    <w:p w:rsidR="00D93B1B" w:rsidRPr="00D93B1B" w:rsidRDefault="00D93B1B" w:rsidP="00D93B1B">
      <w:pPr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Competency Management</w:t>
      </w:r>
    </w:p>
    <w:p w:rsidR="00D93B1B" w:rsidRPr="00D93B1B" w:rsidRDefault="00D93B1B" w:rsidP="00D93B1B">
      <w:pPr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Impact Realization</w:t>
      </w:r>
    </w:p>
    <w:p w:rsidR="00D93B1B" w:rsidRDefault="00D93B1B" w:rsidP="00D93B1B">
      <w:pPr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Control framework</w:t>
      </w:r>
    </w:p>
    <w:p w:rsidR="004C77C7" w:rsidRDefault="004C77C7" w:rsidP="004C77C7">
      <w:pPr>
        <w:spacing w:after="0" w:line="240" w:lineRule="auto"/>
        <w:ind w:left="720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4C77C7" w:rsidRPr="00D93B1B" w:rsidRDefault="004C77C7" w:rsidP="004C77C7">
      <w:pPr>
        <w:spacing w:after="0" w:line="240" w:lineRule="auto"/>
        <w:ind w:left="720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Default="00D93B1B" w:rsidP="00D93B1B">
      <w:pPr>
        <w:spacing w:after="0" w:line="288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</w:pPr>
      <w:r w:rsidRPr="00D93B1B"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  <w:lastRenderedPageBreak/>
        <w:t>CoE Teams</w:t>
      </w:r>
    </w:p>
    <w:p w:rsidR="00137392" w:rsidRPr="00D93B1B" w:rsidRDefault="00137392" w:rsidP="00D93B1B">
      <w:pPr>
        <w:spacing w:after="0" w:line="288" w:lineRule="atLeast"/>
        <w:outlineLvl w:val="1"/>
        <w:rPr>
          <w:rFonts w:ascii="inherit" w:eastAsia="Times New Roman" w:hAnsi="inherit" w:cs="Times New Roman"/>
          <w:color w:val="3A3A3A"/>
          <w:sz w:val="45"/>
          <w:szCs w:val="45"/>
        </w:rPr>
      </w:pPr>
    </w:p>
    <w:p w:rsid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>The CoE is categorized into six teams:</w:t>
      </w:r>
    </w:p>
    <w:p w:rsidR="00137392" w:rsidRPr="00D93B1B" w:rsidRDefault="00137392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Pr="00D93B1B" w:rsidRDefault="00D93B1B" w:rsidP="00D93B1B">
      <w:pPr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Demand Management Team: 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Identify automation opportunities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Process prioritization automation pipeline management</w:t>
      </w:r>
    </w:p>
    <w:p w:rsidR="00D93B1B" w:rsidRPr="00D93B1B" w:rsidRDefault="00D93B1B" w:rsidP="00D93B1B">
      <w:pPr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Bot Framework &amp; Library Management Team 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Development of reusable bots and scripts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Responsible for developing best practices, a common framework, and reusable meta bots</w:t>
      </w:r>
    </w:p>
    <w:p w:rsidR="00D93B1B" w:rsidRPr="00D93B1B" w:rsidRDefault="00D93B1B" w:rsidP="00D93B1B">
      <w:pPr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RPA Scripting Team 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Core scripting team which includes Developers and solution architect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Responsible for bot delivery</w:t>
      </w:r>
    </w:p>
    <w:p w:rsidR="00D93B1B" w:rsidRPr="00D93B1B" w:rsidRDefault="00D93B1B" w:rsidP="00D93B1B">
      <w:pPr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Research Team 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Identify new technologies (AI, ML, NLP) Integration to (end-end automation)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Internal demos &amp; </w:t>
      </w:r>
      <w:proofErr w:type="spellStart"/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PoCs</w:t>
      </w:r>
      <w:proofErr w:type="spellEnd"/>
    </w:p>
    <w:p w:rsidR="00D93B1B" w:rsidRPr="00D93B1B" w:rsidRDefault="00D93B1B" w:rsidP="00D93B1B">
      <w:pPr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Production Support &amp; Monitoring Team 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Maintain </w:t>
      </w:r>
      <w:proofErr w:type="spellStart"/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runbook</w:t>
      </w:r>
      <w:proofErr w:type="spellEnd"/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\KBAs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Resolving common Infrastructure issues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Root cause analysis bot production issues</w:t>
      </w:r>
    </w:p>
    <w:p w:rsidR="00D93B1B" w:rsidRPr="00D93B1B" w:rsidRDefault="00D93B1B" w:rsidP="00D93B1B">
      <w:pPr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Risk and Control Team 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Check bots operation risk and control methods</w:t>
      </w:r>
    </w:p>
    <w:p w:rsidR="00D93B1B" w:rsidRPr="00D93B1B" w:rsidRDefault="00D93B1B" w:rsidP="00D93B1B">
      <w:pPr>
        <w:numPr>
          <w:ilvl w:val="1"/>
          <w:numId w:val="3"/>
        </w:numPr>
        <w:spacing w:after="0" w:line="240" w:lineRule="auto"/>
        <w:ind w:left="1080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Password management policies </w:t>
      </w:r>
      <w:proofErr w:type="spellStart"/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e.t.c</w:t>
      </w:r>
      <w:proofErr w:type="spellEnd"/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.</w:t>
      </w:r>
    </w:p>
    <w:p w:rsidR="00D93B1B" w:rsidRPr="00D93B1B" w:rsidRDefault="00D93B1B" w:rsidP="00D93B1B">
      <w:pPr>
        <w:spacing w:after="36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Default="00D93B1B" w:rsidP="00D93B1B">
      <w:pPr>
        <w:spacing w:after="0" w:line="288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</w:pPr>
      <w:r w:rsidRPr="00D93B1B"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  <w:t>CoE Planning</w:t>
      </w:r>
    </w:p>
    <w:p w:rsidR="00137392" w:rsidRPr="00D93B1B" w:rsidRDefault="00137392" w:rsidP="00D93B1B">
      <w:pPr>
        <w:spacing w:after="0" w:line="288" w:lineRule="atLeast"/>
        <w:outlineLvl w:val="1"/>
        <w:rPr>
          <w:rFonts w:ascii="inherit" w:eastAsia="Times New Roman" w:hAnsi="inherit" w:cs="Times New Roman"/>
          <w:color w:val="3A3A3A"/>
          <w:sz w:val="45"/>
          <w:szCs w:val="45"/>
        </w:rPr>
      </w:pPr>
    </w:p>
    <w:p w:rsid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 xml:space="preserve">Infrastructure: 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Engage IT to determine how the development client, control room, and runtime clients can be managed within the customers’ environment.</w:t>
      </w:r>
    </w:p>
    <w:p w:rsidR="00137392" w:rsidRPr="00D93B1B" w:rsidRDefault="00137392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 xml:space="preserve">Operations: 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Engage application and security teams to discuss robotic access to applications and other systems.  Implement production operations procedures.</w:t>
      </w:r>
    </w:p>
    <w:p w:rsidR="00137392" w:rsidRPr="00D93B1B" w:rsidRDefault="00137392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 xml:space="preserve">User Operations: 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Discuss a rollout of RPA capabilities within the entire enterprise or a more phased approach that staggers rollout from business unit to business unit.</w:t>
      </w:r>
    </w:p>
    <w:p w:rsidR="00137392" w:rsidRPr="00D93B1B" w:rsidRDefault="00137392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 xml:space="preserve">Development: 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Define an approach for staffing and utilizing a COE based automation development team staffed by Partner, customer and possible third-party resources</w:t>
      </w:r>
    </w:p>
    <w:p w:rsidR="00137392" w:rsidRPr="00D93B1B" w:rsidRDefault="00137392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P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lastRenderedPageBreak/>
        <w:t>Development Life Cycle: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Process Identification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Requirements Gathering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Process Evaluation/ Feasibility Analysis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Solution Design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Bot Development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Unit &amp; Integration Testing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User Acceptance Testing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Deployment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Hyper care</w:t>
      </w:r>
    </w:p>
    <w:p w:rsidR="00D93B1B" w:rsidRPr="00D93B1B" w:rsidRDefault="00D93B1B" w:rsidP="00D93B1B">
      <w:pPr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Maintenance/Support</w:t>
      </w:r>
    </w:p>
    <w:p w:rsidR="00D93B1B" w:rsidRPr="00D93B1B" w:rsidRDefault="00D93B1B" w:rsidP="00D93B1B">
      <w:pPr>
        <w:spacing w:after="36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noProof/>
          <w:color w:val="3A3A3A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rpa coe - plan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B679D" id="Rectangle 2" o:spid="_x0000_s1026" alt="rpa coe - plan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0&#10;a7PkxAIAAN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93B1B" w:rsidRDefault="00D93B1B" w:rsidP="00D93B1B">
      <w:pPr>
        <w:spacing w:after="0" w:line="288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</w:pPr>
      <w:r w:rsidRPr="00D93B1B"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  <w:t>CoE Structure</w:t>
      </w:r>
    </w:p>
    <w:p w:rsidR="004C77C7" w:rsidRPr="00D93B1B" w:rsidRDefault="004C77C7" w:rsidP="00D93B1B">
      <w:pPr>
        <w:spacing w:after="0" w:line="288" w:lineRule="atLeast"/>
        <w:outlineLvl w:val="1"/>
        <w:rPr>
          <w:rFonts w:ascii="inherit" w:eastAsia="Times New Roman" w:hAnsi="inherit" w:cs="Times New Roman"/>
          <w:color w:val="3A3A3A"/>
          <w:sz w:val="45"/>
          <w:szCs w:val="45"/>
        </w:rPr>
      </w:pPr>
    </w:p>
    <w:p w:rsid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>Key Roles and Responsibilities</w:t>
      </w:r>
    </w:p>
    <w:p w:rsidR="00137392" w:rsidRPr="00D93B1B" w:rsidRDefault="00137392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137392" w:rsidRDefault="00D93B1B" w:rsidP="00137392">
      <w:pPr>
        <w:spacing w:after="36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The CoE operating model comprises of different layers that perform a specific role within the operating model</w:t>
      </w:r>
    </w:p>
    <w:p w:rsidR="00D93B1B" w:rsidRPr="00D93B1B" w:rsidRDefault="00D93B1B" w:rsidP="00137392">
      <w:pPr>
        <w:spacing w:after="36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 xml:space="preserve">RPM: 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Project Manager works closely with the automation developers and stakeholders to ensure that development is aligned with planning.</w:t>
      </w:r>
    </w:p>
    <w:p w:rsidR="00D93B1B" w:rsidRPr="00D93B1B" w:rsidRDefault="00D93B1B" w:rsidP="00D93B1B">
      <w:pPr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Estimates &amp; Plans resource</w:t>
      </w:r>
    </w:p>
    <w:p w:rsidR="00D93B1B" w:rsidRPr="00D93B1B" w:rsidRDefault="00D93B1B" w:rsidP="00D93B1B">
      <w:pPr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Drives the strategic &amp; tactical roll-out of RPA Projects</w:t>
      </w:r>
    </w:p>
    <w:p w:rsidR="00D93B1B" w:rsidRPr="00D93B1B" w:rsidRDefault="00D93B1B" w:rsidP="00D93B1B">
      <w:pPr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Engages the Key stakeholders to achieve a quick ROI</w:t>
      </w:r>
    </w:p>
    <w:p w:rsidR="00D93B1B" w:rsidRDefault="00D93B1B" w:rsidP="00D93B1B">
      <w:pPr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Involved in project management and risk identification/mitigation</w:t>
      </w:r>
    </w:p>
    <w:p w:rsidR="00137392" w:rsidRPr="00D93B1B" w:rsidRDefault="00137392" w:rsidP="00137392">
      <w:pPr>
        <w:spacing w:after="0" w:line="240" w:lineRule="auto"/>
        <w:ind w:left="720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P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>Solution Architect: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 The solution architect is a core team member of the Robotic Process Automation development team. This role involves starting with requirement gathering till deployment. The main objective is to understand the stakeholder/process Owner’s requirements and design automation solution for the business process.</w:t>
      </w:r>
    </w:p>
    <w:p w:rsidR="00D93B1B" w:rsidRPr="00D93B1B" w:rsidRDefault="00D93B1B" w:rsidP="00D93B1B">
      <w:pPr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Technical Feasibility</w:t>
      </w:r>
    </w:p>
    <w:p w:rsidR="00D93B1B" w:rsidRPr="00D93B1B" w:rsidRDefault="00D93B1B" w:rsidP="00D93B1B">
      <w:pPr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Prepare the to-be process</w:t>
      </w:r>
    </w:p>
    <w:p w:rsidR="00D93B1B" w:rsidRPr="00D93B1B" w:rsidRDefault="00D93B1B" w:rsidP="00D93B1B">
      <w:pPr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Project Plan Preparation</w:t>
      </w:r>
    </w:p>
    <w:p w:rsidR="00D93B1B" w:rsidRPr="00D93B1B" w:rsidRDefault="00D93B1B" w:rsidP="00D93B1B">
      <w:pPr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Prepare LDD &amp; Solution design</w:t>
      </w:r>
    </w:p>
    <w:p w:rsidR="00D93B1B" w:rsidRPr="00D93B1B" w:rsidRDefault="00D93B1B" w:rsidP="00D93B1B">
      <w:pPr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Carry out license calculation</w:t>
      </w:r>
    </w:p>
    <w:p w:rsidR="00D93B1B" w:rsidRPr="00D93B1B" w:rsidRDefault="00D93B1B" w:rsidP="00D93B1B">
      <w:pPr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Guide AA Expert for Development</w:t>
      </w:r>
    </w:p>
    <w:p w:rsidR="00D93B1B" w:rsidRDefault="00D93B1B" w:rsidP="00D93B1B">
      <w:pPr>
        <w:numPr>
          <w:ilvl w:val="0"/>
          <w:numId w:val="6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Architect to carry out code review, before forwarding to UAT</w:t>
      </w:r>
    </w:p>
    <w:p w:rsidR="00137392" w:rsidRPr="00D93B1B" w:rsidRDefault="00137392" w:rsidP="00137392">
      <w:pPr>
        <w:spacing w:after="0" w:line="240" w:lineRule="auto"/>
        <w:ind w:left="720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P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lastRenderedPageBreak/>
        <w:t xml:space="preserve">Automation Expert/Developers: </w:t>
      </w:r>
    </w:p>
    <w:p w:rsidR="00D93B1B" w:rsidRPr="00D93B1B" w:rsidRDefault="00D93B1B" w:rsidP="00D93B1B">
      <w:pPr>
        <w:numPr>
          <w:ilvl w:val="0"/>
          <w:numId w:val="7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Development with the reference of Requirement Document</w:t>
      </w:r>
    </w:p>
    <w:p w:rsidR="00D93B1B" w:rsidRDefault="00D93B1B" w:rsidP="00D93B1B">
      <w:pPr>
        <w:numPr>
          <w:ilvl w:val="0"/>
          <w:numId w:val="7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Carry out pre-defined Unit Testing and log the results on Test Cases sheet</w:t>
      </w:r>
    </w:p>
    <w:p w:rsidR="00137392" w:rsidRPr="00D93B1B" w:rsidRDefault="00137392" w:rsidP="00137392">
      <w:pPr>
        <w:spacing w:after="0" w:line="240" w:lineRule="auto"/>
        <w:ind w:left="720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P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 xml:space="preserve">Business Analyst/ SME: 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Identify the process for automation</w:t>
      </w:r>
    </w:p>
    <w:p w:rsidR="00D93B1B" w:rsidRPr="00D93B1B" w:rsidRDefault="00D93B1B" w:rsidP="00D93B1B">
      <w:pPr>
        <w:numPr>
          <w:ilvl w:val="0"/>
          <w:numId w:val="8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Process Documentation</w:t>
      </w:r>
    </w:p>
    <w:p w:rsidR="00D93B1B" w:rsidRDefault="00D93B1B" w:rsidP="00D93B1B">
      <w:pPr>
        <w:numPr>
          <w:ilvl w:val="0"/>
          <w:numId w:val="8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SME to carry out testing for the Code deployed by AE in Pre-Prod environment and log the results in Test Cases template</w:t>
      </w:r>
    </w:p>
    <w:p w:rsidR="00137392" w:rsidRPr="00D93B1B" w:rsidRDefault="00137392" w:rsidP="00137392">
      <w:pPr>
        <w:spacing w:after="0" w:line="240" w:lineRule="auto"/>
        <w:ind w:left="720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 xml:space="preserve">Business Owner: 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Collect approval for documented process steps, accesses, etc.</w:t>
      </w:r>
    </w:p>
    <w:p w:rsidR="00137392" w:rsidRPr="00D93B1B" w:rsidRDefault="00137392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>Maintenance Team: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 Production issue handling</w:t>
      </w:r>
    </w:p>
    <w:p w:rsidR="00137392" w:rsidRPr="00D93B1B" w:rsidRDefault="00137392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Default="00D93B1B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b/>
          <w:bCs/>
          <w:color w:val="3A3A3A"/>
          <w:sz w:val="26"/>
          <w:szCs w:val="26"/>
          <w:bdr w:val="none" w:sz="0" w:space="0" w:color="auto" w:frame="1"/>
        </w:rPr>
        <w:t>Change Management:</w:t>
      </w: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 xml:space="preserve"> Change/Defect Management</w:t>
      </w:r>
    </w:p>
    <w:p w:rsidR="00137392" w:rsidRPr="00D93B1B" w:rsidRDefault="00137392" w:rsidP="00D93B1B">
      <w:p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</w:p>
    <w:p w:rsidR="00D93B1B" w:rsidRDefault="00D93B1B" w:rsidP="00D93B1B">
      <w:pPr>
        <w:spacing w:after="0" w:line="288" w:lineRule="atLeast"/>
        <w:outlineLvl w:val="1"/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</w:pPr>
      <w:r w:rsidRPr="00D93B1B">
        <w:rPr>
          <w:rFonts w:ascii="inherit" w:eastAsia="Times New Roman" w:hAnsi="inherit" w:cs="Times New Roman"/>
          <w:b/>
          <w:bCs/>
          <w:color w:val="3A3A3A"/>
          <w:sz w:val="45"/>
          <w:szCs w:val="45"/>
          <w:bdr w:val="none" w:sz="0" w:space="0" w:color="auto" w:frame="1"/>
        </w:rPr>
        <w:t>CoE Operating Model</w:t>
      </w:r>
    </w:p>
    <w:p w:rsidR="00137392" w:rsidRPr="00D93B1B" w:rsidRDefault="00137392" w:rsidP="00D93B1B">
      <w:pPr>
        <w:spacing w:after="0" w:line="288" w:lineRule="atLeast"/>
        <w:outlineLvl w:val="1"/>
        <w:rPr>
          <w:rFonts w:ascii="inherit" w:eastAsia="Times New Roman" w:hAnsi="inherit" w:cs="Times New Roman"/>
          <w:color w:val="3A3A3A"/>
          <w:sz w:val="45"/>
          <w:szCs w:val="45"/>
        </w:rPr>
      </w:pPr>
    </w:p>
    <w:p w:rsidR="00D93B1B" w:rsidRPr="00D93B1B" w:rsidRDefault="00D93B1B" w:rsidP="00D93B1B">
      <w:pPr>
        <w:spacing w:after="36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An enterprise that wants to scale with RPA technology, needs to identify and set up a robust and comprehensive industrial operating model.</w:t>
      </w:r>
    </w:p>
    <w:p w:rsidR="00D93B1B" w:rsidRPr="00D93B1B" w:rsidRDefault="00D93B1B" w:rsidP="00D93B1B">
      <w:pPr>
        <w:numPr>
          <w:ilvl w:val="0"/>
          <w:numId w:val="9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Business unit/Division Specific</w:t>
      </w:r>
    </w:p>
    <w:p w:rsidR="00D93B1B" w:rsidRPr="00D93B1B" w:rsidRDefault="00D93B1B" w:rsidP="00D93B1B">
      <w:pPr>
        <w:numPr>
          <w:ilvl w:val="0"/>
          <w:numId w:val="9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Federated</w:t>
      </w:r>
    </w:p>
    <w:p w:rsidR="00D93B1B" w:rsidRPr="00D93B1B" w:rsidRDefault="00D93B1B" w:rsidP="00D93B1B">
      <w:pPr>
        <w:numPr>
          <w:ilvl w:val="0"/>
          <w:numId w:val="9"/>
        </w:numPr>
        <w:spacing w:after="0" w:line="240" w:lineRule="auto"/>
        <w:rPr>
          <w:rFonts w:ascii="&amp;quot" w:eastAsia="Times New Roman" w:hAnsi="&amp;quot" w:cs="Times New Roman"/>
          <w:color w:val="3A3A3A"/>
          <w:sz w:val="26"/>
          <w:szCs w:val="26"/>
        </w:rPr>
      </w:pPr>
      <w:r w:rsidRPr="00D93B1B">
        <w:rPr>
          <w:rFonts w:ascii="&amp;quot" w:eastAsia="Times New Roman" w:hAnsi="&amp;quot" w:cs="Times New Roman"/>
          <w:color w:val="3A3A3A"/>
          <w:sz w:val="26"/>
          <w:szCs w:val="26"/>
        </w:rPr>
        <w:t>Centralized</w:t>
      </w:r>
    </w:p>
    <w:p w:rsidR="00D93B1B" w:rsidRDefault="00D93B1B"/>
    <w:sectPr w:rsidR="00D9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AAA"/>
    <w:multiLevelType w:val="multilevel"/>
    <w:tmpl w:val="90C0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912D1"/>
    <w:multiLevelType w:val="multilevel"/>
    <w:tmpl w:val="291E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E2DAD"/>
    <w:multiLevelType w:val="multilevel"/>
    <w:tmpl w:val="EC0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97760"/>
    <w:multiLevelType w:val="multilevel"/>
    <w:tmpl w:val="FF9E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742BF"/>
    <w:multiLevelType w:val="multilevel"/>
    <w:tmpl w:val="BE4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190761"/>
    <w:multiLevelType w:val="multilevel"/>
    <w:tmpl w:val="727C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966C1"/>
    <w:multiLevelType w:val="multilevel"/>
    <w:tmpl w:val="A3B2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2F5345"/>
    <w:multiLevelType w:val="multilevel"/>
    <w:tmpl w:val="98F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7A5048"/>
    <w:multiLevelType w:val="multilevel"/>
    <w:tmpl w:val="4350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1B"/>
    <w:rsid w:val="0006504D"/>
    <w:rsid w:val="000A3859"/>
    <w:rsid w:val="00137392"/>
    <w:rsid w:val="004C77C7"/>
    <w:rsid w:val="00D93B1B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A0E3"/>
  <w15:chartTrackingRefBased/>
  <w15:docId w15:val="{ACCB0D20-4827-4289-9445-0CC52BF3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3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B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93B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-title-breadcrumb">
    <w:name w:val="j-title-breadcrumb"/>
    <w:basedOn w:val="DefaultParagraphFont"/>
    <w:rsid w:val="004C7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0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489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2021-01-06T09:30:00Z</dcterms:created>
  <dcterms:modified xsi:type="dcterms:W3CDTF">2021-01-06T09:58:00Z</dcterms:modified>
</cp:coreProperties>
</file>