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ECD10" w14:textId="08F03429" w:rsidR="00357A6B" w:rsidRPr="002E1D92" w:rsidRDefault="00357A6B" w:rsidP="00357A6B">
      <w:pPr>
        <w:pStyle w:val="IntenseQuote"/>
        <w:rPr>
          <w:sz w:val="48"/>
          <w:szCs w:val="48"/>
        </w:rPr>
      </w:pPr>
      <w:r w:rsidRPr="002E1D92">
        <w:rPr>
          <w:sz w:val="48"/>
          <w:szCs w:val="48"/>
        </w:rPr>
        <w:t>Healthcare Claims Denial Analysis Dashboard Report</w:t>
      </w:r>
    </w:p>
    <w:p w14:paraId="586987A8" w14:textId="77777777" w:rsidR="00357A6B" w:rsidRPr="00357A6B" w:rsidRDefault="00357A6B" w:rsidP="00357A6B"/>
    <w:p w14:paraId="1FB484FD" w14:textId="0BEE47DE" w:rsidR="00357A6B" w:rsidRPr="00357A6B" w:rsidRDefault="00357A6B" w:rsidP="00357A6B">
      <w:pPr>
        <w:rPr>
          <w:sz w:val="24"/>
          <w:szCs w:val="24"/>
        </w:rPr>
      </w:pPr>
      <w:r w:rsidRPr="00357A6B">
        <w:rPr>
          <w:color w:val="2A5010" w:themeColor="accent2" w:themeShade="80"/>
          <w:sz w:val="28"/>
          <w:szCs w:val="28"/>
        </w:rPr>
        <w:t>Tools Used</w:t>
      </w:r>
      <w:r w:rsidRPr="00357A6B">
        <w:rPr>
          <w:color w:val="2A5010" w:themeColor="accent2" w:themeShade="80"/>
        </w:rPr>
        <w:t xml:space="preserve"> </w:t>
      </w:r>
      <w:r w:rsidRPr="00357A6B">
        <w:rPr>
          <w:sz w:val="24"/>
          <w:szCs w:val="24"/>
        </w:rPr>
        <w:t xml:space="preserve">- PostgreSQL - </w:t>
      </w:r>
      <w:proofErr w:type="spellStart"/>
      <w:r w:rsidRPr="00357A6B">
        <w:rPr>
          <w:sz w:val="24"/>
          <w:szCs w:val="24"/>
        </w:rPr>
        <w:t>P</w:t>
      </w:r>
      <w:r w:rsidRPr="00357A6B">
        <w:rPr>
          <w:sz w:val="24"/>
          <w:szCs w:val="24"/>
        </w:rPr>
        <w:t>gAdmin</w:t>
      </w:r>
      <w:proofErr w:type="spellEnd"/>
      <w:r w:rsidRPr="00357A6B">
        <w:rPr>
          <w:sz w:val="24"/>
          <w:szCs w:val="24"/>
        </w:rPr>
        <w:t xml:space="preserve"> - SQL - Excel/CSV (data preparation)</w:t>
      </w:r>
    </w:p>
    <w:p w14:paraId="101268EB" w14:textId="77777777" w:rsidR="00357A6B" w:rsidRPr="00357A6B" w:rsidRDefault="00357A6B" w:rsidP="00357A6B"/>
    <w:p w14:paraId="22A4770F" w14:textId="37BCAB21" w:rsidR="002E1D92" w:rsidRDefault="002E1D92" w:rsidP="002E1D92">
      <w:pPr>
        <w:pStyle w:val="Subtitle"/>
        <w:numPr>
          <w:ilvl w:val="0"/>
          <w:numId w:val="0"/>
        </w:numPr>
      </w:pPr>
      <w:r w:rsidRPr="002E1D92">
        <w:t>1.</w:t>
      </w:r>
      <w:r>
        <w:t xml:space="preserve"> </w:t>
      </w:r>
      <w:r w:rsidR="00357A6B" w:rsidRPr="002E1D92">
        <w:t xml:space="preserve">Executive Summary </w:t>
      </w:r>
    </w:p>
    <w:p w14:paraId="5C64AB16" w14:textId="77777777" w:rsidR="002E1D92" w:rsidRPr="002E1D92" w:rsidRDefault="002E1D92" w:rsidP="002E1D92"/>
    <w:p w14:paraId="774B9EDF" w14:textId="77777777" w:rsidR="00357A6B" w:rsidRPr="00357A6B" w:rsidRDefault="00357A6B" w:rsidP="00357A6B">
      <w:pPr>
        <w:rPr>
          <w:sz w:val="24"/>
          <w:szCs w:val="24"/>
        </w:rPr>
      </w:pPr>
      <w:r w:rsidRPr="00357A6B">
        <w:rPr>
          <w:sz w:val="24"/>
          <w:szCs w:val="24"/>
        </w:rPr>
        <w:t>This dashboard report presents an analysis of healthcare claim denials and appeals to identify operational gaps in coding and denial management. The analysis provides a clear view of claim status outcomes, denial trends, and appeal effectiveness, helping revenue cycle stakeholders prioritize high-impact corrective actions.</w:t>
      </w:r>
    </w:p>
    <w:p w14:paraId="00957DC1" w14:textId="5D547C62" w:rsidR="00357A6B" w:rsidRPr="002E1D92" w:rsidRDefault="00357A6B" w:rsidP="00357A6B">
      <w:pPr>
        <w:rPr>
          <w:sz w:val="24"/>
          <w:szCs w:val="24"/>
        </w:rPr>
      </w:pPr>
    </w:p>
    <w:p w14:paraId="271218F5" w14:textId="77777777" w:rsidR="00357A6B" w:rsidRDefault="00357A6B" w:rsidP="002E1D92">
      <w:pPr>
        <w:pStyle w:val="Subtitle"/>
      </w:pPr>
      <w:r w:rsidRPr="00357A6B">
        <w:t xml:space="preserve">2. Project Objective </w:t>
      </w:r>
    </w:p>
    <w:p w14:paraId="2E019372" w14:textId="77777777" w:rsidR="002E1D92" w:rsidRPr="002E1D92" w:rsidRDefault="002E1D92" w:rsidP="002E1D92"/>
    <w:p w14:paraId="7C5447F1" w14:textId="77777777" w:rsidR="00357A6B" w:rsidRPr="00357A6B" w:rsidRDefault="00357A6B" w:rsidP="00357A6B">
      <w:pPr>
        <w:rPr>
          <w:sz w:val="24"/>
          <w:szCs w:val="24"/>
        </w:rPr>
      </w:pPr>
      <w:r w:rsidRPr="00357A6B">
        <w:rPr>
          <w:sz w:val="24"/>
          <w:szCs w:val="24"/>
          <w:u w:val="single"/>
        </w:rPr>
        <w:t>The dashboard was built to</w:t>
      </w:r>
      <w:r w:rsidRPr="00357A6B">
        <w:rPr>
          <w:sz w:val="24"/>
          <w:szCs w:val="24"/>
        </w:rPr>
        <w:t xml:space="preserve">: </w:t>
      </w:r>
    </w:p>
    <w:p w14:paraId="4858D9B1" w14:textId="77777777" w:rsidR="00357A6B" w:rsidRPr="00357A6B" w:rsidRDefault="00357A6B" w:rsidP="00357A6B">
      <w:pPr>
        <w:rPr>
          <w:sz w:val="24"/>
          <w:szCs w:val="24"/>
        </w:rPr>
      </w:pPr>
      <w:r w:rsidRPr="00357A6B">
        <w:rPr>
          <w:sz w:val="24"/>
          <w:szCs w:val="24"/>
        </w:rPr>
        <w:t xml:space="preserve">- Measure claim outcomes across Fully Paid, Partially Paid, and Denied claims. </w:t>
      </w:r>
    </w:p>
    <w:p w14:paraId="13A43FEF" w14:textId="77777777" w:rsidR="00357A6B" w:rsidRPr="00357A6B" w:rsidRDefault="00357A6B" w:rsidP="00357A6B">
      <w:pPr>
        <w:rPr>
          <w:sz w:val="24"/>
          <w:szCs w:val="24"/>
        </w:rPr>
      </w:pPr>
      <w:r w:rsidRPr="00357A6B">
        <w:rPr>
          <w:sz w:val="24"/>
          <w:szCs w:val="24"/>
        </w:rPr>
        <w:t xml:space="preserve">- Quantify denial burden using overall denial rate. </w:t>
      </w:r>
    </w:p>
    <w:p w14:paraId="1F356521" w14:textId="77777777" w:rsidR="00357A6B" w:rsidRPr="00357A6B" w:rsidRDefault="00357A6B" w:rsidP="00357A6B">
      <w:pPr>
        <w:rPr>
          <w:sz w:val="24"/>
          <w:szCs w:val="24"/>
        </w:rPr>
      </w:pPr>
      <w:r w:rsidRPr="00357A6B">
        <w:rPr>
          <w:sz w:val="24"/>
          <w:szCs w:val="24"/>
        </w:rPr>
        <w:t xml:space="preserve">- Identify the most frequent denial reasons. </w:t>
      </w:r>
    </w:p>
    <w:p w14:paraId="5E756A65" w14:textId="77777777" w:rsidR="00357A6B" w:rsidRPr="00357A6B" w:rsidRDefault="00357A6B" w:rsidP="00357A6B">
      <w:pPr>
        <w:rPr>
          <w:sz w:val="24"/>
          <w:szCs w:val="24"/>
        </w:rPr>
      </w:pPr>
      <w:r w:rsidRPr="00357A6B">
        <w:rPr>
          <w:sz w:val="24"/>
          <w:szCs w:val="24"/>
        </w:rPr>
        <w:t xml:space="preserve">- Track appeal filing behavior and resolution by appeal level. </w:t>
      </w:r>
    </w:p>
    <w:p w14:paraId="597F8280" w14:textId="77777777" w:rsidR="00357A6B" w:rsidRPr="00357A6B" w:rsidRDefault="00357A6B" w:rsidP="00357A6B">
      <w:pPr>
        <w:rPr>
          <w:sz w:val="24"/>
          <w:szCs w:val="24"/>
        </w:rPr>
      </w:pPr>
      <w:r w:rsidRPr="00357A6B">
        <w:rPr>
          <w:sz w:val="24"/>
          <w:szCs w:val="24"/>
        </w:rPr>
        <w:t>- Support data-driven decisions to reduce denials and improve collections.</w:t>
      </w:r>
    </w:p>
    <w:p w14:paraId="442B27EE" w14:textId="77777777" w:rsidR="00357A6B" w:rsidRPr="002E1D92" w:rsidRDefault="00357A6B" w:rsidP="00357A6B">
      <w:pPr>
        <w:rPr>
          <w:sz w:val="24"/>
          <w:szCs w:val="24"/>
        </w:rPr>
      </w:pPr>
    </w:p>
    <w:p w14:paraId="2413BFC9" w14:textId="77777777" w:rsidR="00357A6B" w:rsidRDefault="00357A6B" w:rsidP="002E1D92">
      <w:pPr>
        <w:pStyle w:val="Subtitle"/>
      </w:pPr>
      <w:r w:rsidRPr="00357A6B">
        <w:t xml:space="preserve">3. Data Scope </w:t>
      </w:r>
    </w:p>
    <w:p w14:paraId="3B0DBE73" w14:textId="77777777" w:rsidR="002E1D92" w:rsidRPr="002E1D92" w:rsidRDefault="002E1D92" w:rsidP="002E1D92"/>
    <w:p w14:paraId="24B14B60" w14:textId="77777777" w:rsidR="00357A6B" w:rsidRPr="00357A6B" w:rsidRDefault="00357A6B" w:rsidP="00357A6B">
      <w:pPr>
        <w:rPr>
          <w:sz w:val="24"/>
          <w:szCs w:val="24"/>
        </w:rPr>
      </w:pPr>
      <w:r w:rsidRPr="00357A6B">
        <w:rPr>
          <w:sz w:val="24"/>
          <w:szCs w:val="24"/>
        </w:rPr>
        <w:t xml:space="preserve">The dashboard integrates four project datasets: </w:t>
      </w:r>
    </w:p>
    <w:p w14:paraId="40A5750C" w14:textId="3E5F08CD" w:rsidR="00357A6B" w:rsidRPr="00357A6B" w:rsidRDefault="00357A6B" w:rsidP="00357A6B">
      <w:pPr>
        <w:rPr>
          <w:sz w:val="24"/>
          <w:szCs w:val="24"/>
        </w:rPr>
      </w:pPr>
      <w:r w:rsidRPr="00357A6B">
        <w:rPr>
          <w:sz w:val="24"/>
          <w:szCs w:val="24"/>
        </w:rPr>
        <w:t>-</w:t>
      </w:r>
      <w:r w:rsidRPr="00357A6B">
        <w:rPr>
          <w:sz w:val="24"/>
          <w:szCs w:val="24"/>
          <w:u w:val="single"/>
        </w:rPr>
        <w:t>Patient</w:t>
      </w:r>
      <w:r w:rsidRPr="00357A6B">
        <w:rPr>
          <w:sz w:val="24"/>
          <w:szCs w:val="24"/>
        </w:rPr>
        <w:t xml:space="preserve">: demographic and service context. </w:t>
      </w:r>
    </w:p>
    <w:p w14:paraId="268818AA" w14:textId="550F132A" w:rsidR="00357A6B" w:rsidRPr="00357A6B" w:rsidRDefault="00357A6B" w:rsidP="00357A6B">
      <w:pPr>
        <w:rPr>
          <w:sz w:val="24"/>
          <w:szCs w:val="24"/>
        </w:rPr>
      </w:pPr>
      <w:r w:rsidRPr="00357A6B">
        <w:rPr>
          <w:sz w:val="24"/>
          <w:szCs w:val="24"/>
        </w:rPr>
        <w:t xml:space="preserve">- </w:t>
      </w:r>
      <w:r w:rsidRPr="00357A6B">
        <w:rPr>
          <w:sz w:val="24"/>
          <w:szCs w:val="24"/>
          <w:u w:val="single"/>
        </w:rPr>
        <w:t>Provide</w:t>
      </w:r>
      <w:r w:rsidRPr="002E1D92">
        <w:rPr>
          <w:sz w:val="24"/>
          <w:szCs w:val="24"/>
          <w:u w:val="single"/>
        </w:rPr>
        <w:t>r</w:t>
      </w:r>
      <w:r w:rsidRPr="00357A6B">
        <w:rPr>
          <w:sz w:val="24"/>
          <w:szCs w:val="24"/>
        </w:rPr>
        <w:t xml:space="preserve">: provider profile and specialty. </w:t>
      </w:r>
    </w:p>
    <w:p w14:paraId="4E26FA4A" w14:textId="0DC639E0" w:rsidR="00357A6B" w:rsidRPr="00357A6B" w:rsidRDefault="00357A6B" w:rsidP="00357A6B">
      <w:pPr>
        <w:rPr>
          <w:sz w:val="24"/>
          <w:szCs w:val="24"/>
        </w:rPr>
      </w:pPr>
      <w:r w:rsidRPr="00357A6B">
        <w:rPr>
          <w:sz w:val="24"/>
          <w:szCs w:val="24"/>
        </w:rPr>
        <w:t xml:space="preserve">- </w:t>
      </w:r>
      <w:r w:rsidRPr="00357A6B">
        <w:rPr>
          <w:sz w:val="24"/>
          <w:szCs w:val="24"/>
          <w:u w:val="single"/>
        </w:rPr>
        <w:t>Claim</w:t>
      </w:r>
      <w:r w:rsidRPr="00357A6B">
        <w:rPr>
          <w:sz w:val="24"/>
          <w:szCs w:val="24"/>
        </w:rPr>
        <w:t xml:space="preserve">: claim number and payment status. </w:t>
      </w:r>
    </w:p>
    <w:p w14:paraId="485CBC21" w14:textId="7B228FB0" w:rsidR="00357A6B" w:rsidRPr="002E1D92" w:rsidRDefault="00357A6B" w:rsidP="00357A6B">
      <w:pPr>
        <w:rPr>
          <w:sz w:val="24"/>
          <w:szCs w:val="24"/>
        </w:rPr>
      </w:pPr>
      <w:r w:rsidRPr="00357A6B">
        <w:rPr>
          <w:sz w:val="24"/>
          <w:szCs w:val="24"/>
        </w:rPr>
        <w:t xml:space="preserve">- </w:t>
      </w:r>
      <w:r w:rsidRPr="00357A6B">
        <w:rPr>
          <w:sz w:val="24"/>
          <w:szCs w:val="24"/>
          <w:u w:val="single"/>
        </w:rPr>
        <w:t>Appeal</w:t>
      </w:r>
      <w:r w:rsidRPr="00357A6B">
        <w:rPr>
          <w:sz w:val="24"/>
          <w:szCs w:val="24"/>
        </w:rPr>
        <w:t xml:space="preserve">: denial reason, appeal filed status, and appeal level. </w:t>
      </w:r>
    </w:p>
    <w:p w14:paraId="328C26E1" w14:textId="77777777" w:rsidR="00357A6B" w:rsidRDefault="00357A6B" w:rsidP="00357A6B">
      <w:pPr>
        <w:rPr>
          <w:sz w:val="24"/>
          <w:szCs w:val="24"/>
        </w:rPr>
      </w:pPr>
    </w:p>
    <w:p w14:paraId="3E3DCEA6" w14:textId="77777777" w:rsidR="002E1D92" w:rsidRDefault="002E1D92" w:rsidP="00357A6B">
      <w:pPr>
        <w:rPr>
          <w:sz w:val="24"/>
          <w:szCs w:val="24"/>
        </w:rPr>
      </w:pPr>
    </w:p>
    <w:p w14:paraId="44E57742" w14:textId="77777777" w:rsidR="002E1D92" w:rsidRDefault="002E1D92" w:rsidP="00357A6B">
      <w:pPr>
        <w:rPr>
          <w:sz w:val="24"/>
          <w:szCs w:val="24"/>
        </w:rPr>
      </w:pPr>
    </w:p>
    <w:p w14:paraId="1B8DE698" w14:textId="77777777" w:rsidR="002E1D92" w:rsidRPr="00357A6B" w:rsidRDefault="002E1D92" w:rsidP="00357A6B">
      <w:pPr>
        <w:rPr>
          <w:sz w:val="24"/>
          <w:szCs w:val="24"/>
        </w:rPr>
      </w:pPr>
    </w:p>
    <w:p w14:paraId="28AA1043" w14:textId="5ECDF639" w:rsidR="00357A6B" w:rsidRDefault="00357A6B" w:rsidP="002E1D92">
      <w:pPr>
        <w:pStyle w:val="Subtitle"/>
      </w:pPr>
      <w:r w:rsidRPr="00357A6B">
        <w:t>4. Dashboard Metrics and Views</w:t>
      </w:r>
    </w:p>
    <w:p w14:paraId="48C00651" w14:textId="77777777" w:rsidR="002E1D92" w:rsidRPr="002E1D92" w:rsidRDefault="002E1D92" w:rsidP="002E1D92"/>
    <w:p w14:paraId="1F3E9EC0" w14:textId="0B693975" w:rsidR="00357A6B" w:rsidRPr="00357A6B" w:rsidRDefault="00357A6B" w:rsidP="00357A6B">
      <w:pPr>
        <w:rPr>
          <w:sz w:val="24"/>
          <w:szCs w:val="24"/>
        </w:rPr>
      </w:pPr>
      <w:r w:rsidRPr="00357A6B">
        <w:rPr>
          <w:sz w:val="24"/>
          <w:szCs w:val="24"/>
          <w:highlight w:val="yellow"/>
        </w:rPr>
        <w:t>4.1 Claim Status Distribution</w:t>
      </w:r>
      <w:r w:rsidRPr="00357A6B">
        <w:rPr>
          <w:sz w:val="24"/>
          <w:szCs w:val="24"/>
        </w:rPr>
        <w:t xml:space="preserve"> </w:t>
      </w:r>
    </w:p>
    <w:p w14:paraId="405CFF5F" w14:textId="77777777" w:rsidR="00357A6B" w:rsidRDefault="00357A6B" w:rsidP="00357A6B">
      <w:pPr>
        <w:rPr>
          <w:sz w:val="24"/>
          <w:szCs w:val="24"/>
        </w:rPr>
      </w:pPr>
      <w:r w:rsidRPr="00357A6B">
        <w:rPr>
          <w:sz w:val="24"/>
          <w:szCs w:val="24"/>
        </w:rPr>
        <w:t xml:space="preserve">Displays total counts of Fully Paid, Partially Paid, and Denied claims to establish the baseline payment mix. </w:t>
      </w:r>
    </w:p>
    <w:p w14:paraId="578F60D1" w14:textId="77777777" w:rsidR="002E1D92" w:rsidRPr="00357A6B" w:rsidRDefault="002E1D92" w:rsidP="00357A6B">
      <w:pPr>
        <w:rPr>
          <w:sz w:val="24"/>
          <w:szCs w:val="24"/>
        </w:rPr>
      </w:pPr>
    </w:p>
    <w:p w14:paraId="4ABDAE43" w14:textId="1E6BD5CE" w:rsidR="00357A6B" w:rsidRPr="00357A6B" w:rsidRDefault="00357A6B" w:rsidP="00357A6B">
      <w:pPr>
        <w:rPr>
          <w:sz w:val="24"/>
          <w:szCs w:val="24"/>
        </w:rPr>
      </w:pPr>
      <w:r w:rsidRPr="00357A6B">
        <w:rPr>
          <w:sz w:val="24"/>
          <w:szCs w:val="24"/>
          <w:highlight w:val="yellow"/>
        </w:rPr>
        <w:t>4.2 Overall Denial Rate</w:t>
      </w:r>
      <w:r w:rsidRPr="00357A6B">
        <w:rPr>
          <w:sz w:val="24"/>
          <w:szCs w:val="24"/>
        </w:rPr>
        <w:t xml:space="preserve"> </w:t>
      </w:r>
    </w:p>
    <w:p w14:paraId="69D31681" w14:textId="77777777" w:rsidR="00357A6B" w:rsidRDefault="00357A6B" w:rsidP="00357A6B">
      <w:pPr>
        <w:rPr>
          <w:sz w:val="24"/>
          <w:szCs w:val="24"/>
        </w:rPr>
      </w:pPr>
      <w:r w:rsidRPr="00357A6B">
        <w:rPr>
          <w:sz w:val="24"/>
          <w:szCs w:val="24"/>
        </w:rPr>
        <w:t xml:space="preserve">Calculates denied claims as a percentage of total claims to show the scale of denial-related revenue risk. </w:t>
      </w:r>
    </w:p>
    <w:p w14:paraId="429429AB" w14:textId="77777777" w:rsidR="002E1D92" w:rsidRPr="00357A6B" w:rsidRDefault="002E1D92" w:rsidP="00357A6B">
      <w:pPr>
        <w:rPr>
          <w:sz w:val="24"/>
          <w:szCs w:val="24"/>
        </w:rPr>
      </w:pPr>
    </w:p>
    <w:p w14:paraId="62134EB8" w14:textId="29F6054C" w:rsidR="00357A6B" w:rsidRPr="00357A6B" w:rsidRDefault="00357A6B" w:rsidP="00357A6B">
      <w:pPr>
        <w:rPr>
          <w:sz w:val="24"/>
          <w:szCs w:val="24"/>
        </w:rPr>
      </w:pPr>
      <w:r w:rsidRPr="00357A6B">
        <w:rPr>
          <w:sz w:val="24"/>
          <w:szCs w:val="24"/>
          <w:highlight w:val="yellow"/>
        </w:rPr>
        <w:t>4.3 Denial Reason Breakdown</w:t>
      </w:r>
      <w:r w:rsidRPr="00357A6B">
        <w:rPr>
          <w:sz w:val="24"/>
          <w:szCs w:val="24"/>
        </w:rPr>
        <w:t xml:space="preserve"> </w:t>
      </w:r>
    </w:p>
    <w:p w14:paraId="19BFCC5A" w14:textId="77777777" w:rsidR="00357A6B" w:rsidRDefault="00357A6B" w:rsidP="00357A6B">
      <w:pPr>
        <w:rPr>
          <w:sz w:val="24"/>
          <w:szCs w:val="24"/>
        </w:rPr>
      </w:pPr>
      <w:r w:rsidRPr="00357A6B">
        <w:rPr>
          <w:sz w:val="24"/>
          <w:szCs w:val="24"/>
        </w:rPr>
        <w:t xml:space="preserve">Ranks denial reasons to highlight where corrective interventions are most needed (for example, coding and bundling-related issues). </w:t>
      </w:r>
    </w:p>
    <w:p w14:paraId="6CC3A029" w14:textId="77777777" w:rsidR="002E1D92" w:rsidRPr="00357A6B" w:rsidRDefault="002E1D92" w:rsidP="00357A6B">
      <w:pPr>
        <w:rPr>
          <w:sz w:val="24"/>
          <w:szCs w:val="24"/>
        </w:rPr>
      </w:pPr>
    </w:p>
    <w:p w14:paraId="6E0F548F" w14:textId="5E35F6B2" w:rsidR="00357A6B" w:rsidRPr="00357A6B" w:rsidRDefault="00357A6B" w:rsidP="00357A6B">
      <w:pPr>
        <w:rPr>
          <w:sz w:val="24"/>
          <w:szCs w:val="24"/>
        </w:rPr>
      </w:pPr>
      <w:r w:rsidRPr="00357A6B">
        <w:rPr>
          <w:sz w:val="24"/>
          <w:szCs w:val="24"/>
          <w:highlight w:val="yellow"/>
        </w:rPr>
        <w:t>4.4 Appeal Filing and Level Analysis</w:t>
      </w:r>
      <w:r w:rsidRPr="00357A6B">
        <w:rPr>
          <w:sz w:val="24"/>
          <w:szCs w:val="24"/>
        </w:rPr>
        <w:t xml:space="preserve"> </w:t>
      </w:r>
    </w:p>
    <w:p w14:paraId="5D2BF72C" w14:textId="77777777" w:rsidR="00357A6B" w:rsidRDefault="00357A6B" w:rsidP="00357A6B">
      <w:pPr>
        <w:rPr>
          <w:sz w:val="24"/>
          <w:szCs w:val="24"/>
        </w:rPr>
      </w:pPr>
      <w:r w:rsidRPr="00357A6B">
        <w:rPr>
          <w:sz w:val="24"/>
          <w:szCs w:val="24"/>
        </w:rPr>
        <w:t xml:space="preserve">Shows whether appeals were filed and at which level (Level 1, 2, or 3) claims were addressed, indicating process effectiveness. </w:t>
      </w:r>
    </w:p>
    <w:p w14:paraId="0655FC98" w14:textId="77777777" w:rsidR="002E1D92" w:rsidRPr="00357A6B" w:rsidRDefault="002E1D92" w:rsidP="00357A6B">
      <w:pPr>
        <w:rPr>
          <w:sz w:val="24"/>
          <w:szCs w:val="24"/>
        </w:rPr>
      </w:pPr>
    </w:p>
    <w:p w14:paraId="7AB62B52" w14:textId="5745EC72" w:rsidR="00357A6B" w:rsidRDefault="00357A6B" w:rsidP="002E1D92">
      <w:pPr>
        <w:pStyle w:val="Subtitle"/>
      </w:pPr>
      <w:r w:rsidRPr="00357A6B">
        <w:t xml:space="preserve">5. Analysis Approach </w:t>
      </w:r>
    </w:p>
    <w:p w14:paraId="050F27C1" w14:textId="77777777" w:rsidR="002E1D92" w:rsidRPr="002E1D92" w:rsidRDefault="002E1D92" w:rsidP="002E1D92"/>
    <w:p w14:paraId="39A8EEE9" w14:textId="77777777" w:rsidR="00357A6B" w:rsidRPr="00357A6B" w:rsidRDefault="00357A6B" w:rsidP="00357A6B">
      <w:pPr>
        <w:rPr>
          <w:sz w:val="24"/>
          <w:szCs w:val="24"/>
        </w:rPr>
      </w:pPr>
      <w:r w:rsidRPr="00357A6B">
        <w:rPr>
          <w:sz w:val="24"/>
          <w:szCs w:val="24"/>
        </w:rPr>
        <w:t xml:space="preserve">- Used SQL aggregations and grouped summaries to produce KPI-level metrics. </w:t>
      </w:r>
    </w:p>
    <w:p w14:paraId="20E23FE1" w14:textId="77777777" w:rsidR="00357A6B" w:rsidRPr="00357A6B" w:rsidRDefault="00357A6B" w:rsidP="00357A6B">
      <w:pPr>
        <w:rPr>
          <w:sz w:val="24"/>
          <w:szCs w:val="24"/>
        </w:rPr>
      </w:pPr>
      <w:r w:rsidRPr="00357A6B">
        <w:rPr>
          <w:sz w:val="24"/>
          <w:szCs w:val="24"/>
        </w:rPr>
        <w:t xml:space="preserve">- Applied LEFT JOIN logic between claim and denial/appeal tables to preserve full claim visibility. </w:t>
      </w:r>
    </w:p>
    <w:p w14:paraId="22B96F69" w14:textId="77777777" w:rsidR="00357A6B" w:rsidRDefault="00357A6B" w:rsidP="00357A6B">
      <w:pPr>
        <w:rPr>
          <w:sz w:val="24"/>
          <w:szCs w:val="24"/>
        </w:rPr>
      </w:pPr>
      <w:r w:rsidRPr="00357A6B">
        <w:rPr>
          <w:sz w:val="24"/>
          <w:szCs w:val="24"/>
        </w:rPr>
        <w:t xml:space="preserve">- Structured outputs for dashboard-style reporting and management review. </w:t>
      </w:r>
    </w:p>
    <w:p w14:paraId="67424366" w14:textId="77777777" w:rsidR="002E1D92" w:rsidRPr="00357A6B" w:rsidRDefault="002E1D92" w:rsidP="00357A6B">
      <w:pPr>
        <w:rPr>
          <w:sz w:val="24"/>
          <w:szCs w:val="24"/>
        </w:rPr>
      </w:pPr>
    </w:p>
    <w:p w14:paraId="3EF3CC5D" w14:textId="308CACD4" w:rsidR="00357A6B" w:rsidRDefault="00357A6B" w:rsidP="002E1D92">
      <w:pPr>
        <w:pStyle w:val="Subtitle"/>
      </w:pPr>
      <w:r w:rsidRPr="00357A6B">
        <w:t xml:space="preserve">6. Key Findings </w:t>
      </w:r>
    </w:p>
    <w:p w14:paraId="1EE8213C" w14:textId="77777777" w:rsidR="002E1D92" w:rsidRPr="00357A6B" w:rsidRDefault="002E1D92" w:rsidP="00357A6B">
      <w:pPr>
        <w:rPr>
          <w:sz w:val="24"/>
          <w:szCs w:val="24"/>
        </w:rPr>
      </w:pPr>
    </w:p>
    <w:p w14:paraId="29F3CE9F" w14:textId="77777777" w:rsidR="00357A6B" w:rsidRPr="00357A6B" w:rsidRDefault="00357A6B" w:rsidP="00357A6B">
      <w:pPr>
        <w:rPr>
          <w:sz w:val="24"/>
          <w:szCs w:val="24"/>
        </w:rPr>
      </w:pPr>
      <w:r w:rsidRPr="00357A6B">
        <w:rPr>
          <w:sz w:val="24"/>
          <w:szCs w:val="24"/>
        </w:rPr>
        <w:lastRenderedPageBreak/>
        <w:t xml:space="preserve">- Denied claims represent a meaningful share of total claims and require focused remediation. </w:t>
      </w:r>
    </w:p>
    <w:p w14:paraId="094A8481" w14:textId="77777777" w:rsidR="00357A6B" w:rsidRPr="00357A6B" w:rsidRDefault="00357A6B" w:rsidP="00357A6B">
      <w:pPr>
        <w:rPr>
          <w:sz w:val="24"/>
          <w:szCs w:val="24"/>
        </w:rPr>
      </w:pPr>
      <w:r w:rsidRPr="00357A6B">
        <w:rPr>
          <w:sz w:val="24"/>
          <w:szCs w:val="24"/>
        </w:rPr>
        <w:t xml:space="preserve">- A limited set of denial reasons contributes disproportionately to denial volume. </w:t>
      </w:r>
    </w:p>
    <w:p w14:paraId="0AC9FB12" w14:textId="77777777" w:rsidR="00357A6B" w:rsidRPr="00357A6B" w:rsidRDefault="00357A6B" w:rsidP="00357A6B">
      <w:pPr>
        <w:rPr>
          <w:sz w:val="24"/>
          <w:szCs w:val="24"/>
        </w:rPr>
      </w:pPr>
      <w:r w:rsidRPr="00357A6B">
        <w:rPr>
          <w:sz w:val="24"/>
          <w:szCs w:val="24"/>
        </w:rPr>
        <w:t xml:space="preserve">- Early-stage appeal handling (especially Level 1) is a critical leverage point for faster resolution. </w:t>
      </w:r>
    </w:p>
    <w:p w14:paraId="608F8638" w14:textId="7D1D0D26" w:rsidR="002E1D92" w:rsidRDefault="00357A6B" w:rsidP="00357A6B">
      <w:pPr>
        <w:rPr>
          <w:sz w:val="24"/>
          <w:szCs w:val="24"/>
        </w:rPr>
      </w:pPr>
      <w:r w:rsidRPr="00357A6B">
        <w:rPr>
          <w:sz w:val="24"/>
          <w:szCs w:val="24"/>
        </w:rPr>
        <w:t xml:space="preserve">- Coding quality and denial prevention controls are central to reducing repeat denials. </w:t>
      </w:r>
      <w:r w:rsidR="002E1D92">
        <w:rPr>
          <w:sz w:val="24"/>
          <w:szCs w:val="24"/>
        </w:rPr>
        <w:t xml:space="preserve">  </w:t>
      </w:r>
    </w:p>
    <w:p w14:paraId="16FFB0D2" w14:textId="77777777" w:rsidR="002E1D92" w:rsidRPr="00357A6B" w:rsidRDefault="002E1D92" w:rsidP="00357A6B">
      <w:pPr>
        <w:rPr>
          <w:sz w:val="24"/>
          <w:szCs w:val="24"/>
        </w:rPr>
      </w:pPr>
    </w:p>
    <w:p w14:paraId="12F3E00B" w14:textId="1FCF0B92" w:rsidR="00357A6B" w:rsidRDefault="00357A6B" w:rsidP="002E1D92">
      <w:pPr>
        <w:pStyle w:val="Subtitle"/>
      </w:pPr>
      <w:r w:rsidRPr="00357A6B">
        <w:t xml:space="preserve">7. Recommendations </w:t>
      </w:r>
    </w:p>
    <w:p w14:paraId="2E570836" w14:textId="77777777" w:rsidR="002E1D92" w:rsidRPr="00357A6B" w:rsidRDefault="002E1D92" w:rsidP="00357A6B">
      <w:pPr>
        <w:rPr>
          <w:sz w:val="24"/>
          <w:szCs w:val="24"/>
        </w:rPr>
      </w:pPr>
    </w:p>
    <w:p w14:paraId="30E6CDDB" w14:textId="77777777" w:rsidR="00357A6B" w:rsidRPr="00357A6B" w:rsidRDefault="00357A6B" w:rsidP="00357A6B">
      <w:pPr>
        <w:rPr>
          <w:sz w:val="24"/>
          <w:szCs w:val="24"/>
        </w:rPr>
      </w:pPr>
      <w:r w:rsidRPr="00357A6B">
        <w:rPr>
          <w:sz w:val="24"/>
          <w:szCs w:val="24"/>
        </w:rPr>
        <w:t xml:space="preserve">1. Prioritize top denial reasons with targeted coding education and pre-submission checks. </w:t>
      </w:r>
    </w:p>
    <w:p w14:paraId="21741C75" w14:textId="77777777" w:rsidR="00357A6B" w:rsidRPr="00357A6B" w:rsidRDefault="00357A6B" w:rsidP="00357A6B">
      <w:pPr>
        <w:rPr>
          <w:sz w:val="24"/>
          <w:szCs w:val="24"/>
        </w:rPr>
      </w:pPr>
      <w:r w:rsidRPr="00357A6B">
        <w:rPr>
          <w:sz w:val="24"/>
          <w:szCs w:val="24"/>
        </w:rPr>
        <w:t xml:space="preserve">2. Standardize first-level appeal templates and timelines to improve recovery rates. </w:t>
      </w:r>
    </w:p>
    <w:p w14:paraId="7E747C6E" w14:textId="77777777" w:rsidR="00357A6B" w:rsidRPr="00357A6B" w:rsidRDefault="00357A6B" w:rsidP="00357A6B">
      <w:pPr>
        <w:rPr>
          <w:sz w:val="24"/>
          <w:szCs w:val="24"/>
        </w:rPr>
      </w:pPr>
      <w:r w:rsidRPr="00357A6B">
        <w:rPr>
          <w:sz w:val="24"/>
          <w:szCs w:val="24"/>
        </w:rPr>
        <w:t xml:space="preserve">3. Implement routine denial trend monitoring by provider/service type. </w:t>
      </w:r>
    </w:p>
    <w:p w14:paraId="55D6968C" w14:textId="77777777" w:rsidR="00357A6B" w:rsidRPr="00357A6B" w:rsidRDefault="00357A6B" w:rsidP="00357A6B">
      <w:pPr>
        <w:rPr>
          <w:sz w:val="24"/>
          <w:szCs w:val="24"/>
        </w:rPr>
      </w:pPr>
      <w:r w:rsidRPr="00357A6B">
        <w:rPr>
          <w:sz w:val="24"/>
          <w:szCs w:val="24"/>
        </w:rPr>
        <w:t xml:space="preserve">4. Track monthly denial-rate reduction and appeal turnaround KPIs for governance. </w:t>
      </w:r>
    </w:p>
    <w:p w14:paraId="07E4F084" w14:textId="77777777" w:rsidR="00357A6B" w:rsidRPr="002E1D92" w:rsidRDefault="00357A6B" w:rsidP="00357A6B">
      <w:pPr>
        <w:rPr>
          <w:sz w:val="24"/>
          <w:szCs w:val="24"/>
        </w:rPr>
      </w:pPr>
    </w:p>
    <w:p w14:paraId="2A30D4E9" w14:textId="122D54D7" w:rsidR="00357A6B" w:rsidRDefault="00357A6B" w:rsidP="002E1D92">
      <w:pPr>
        <w:pStyle w:val="Subtitle"/>
      </w:pPr>
      <w:r w:rsidRPr="002E1D92">
        <w:t>8</w:t>
      </w:r>
      <w:r w:rsidRPr="00357A6B">
        <w:t xml:space="preserve">. Conclusion </w:t>
      </w:r>
    </w:p>
    <w:p w14:paraId="3089321C" w14:textId="77777777" w:rsidR="002E1D92" w:rsidRPr="002E1D92" w:rsidRDefault="002E1D92" w:rsidP="002E1D92"/>
    <w:p w14:paraId="2E64C065" w14:textId="77777777" w:rsidR="00357A6B" w:rsidRDefault="00357A6B" w:rsidP="00357A6B">
      <w:pPr>
        <w:rPr>
          <w:sz w:val="24"/>
          <w:szCs w:val="24"/>
        </w:rPr>
      </w:pPr>
      <w:r w:rsidRPr="00357A6B">
        <w:rPr>
          <w:sz w:val="24"/>
          <w:szCs w:val="24"/>
        </w:rPr>
        <w:t>The Healthcare Claims Denial Analysis Dashboard enables focused, measurable denial reduction by connecting claim outcomes with denial causes and appeal performance. With continuous monitoring and process improvements, the organization can improve claim acceptance and strengthen revenue cycle performance.</w:t>
      </w:r>
    </w:p>
    <w:p w14:paraId="28A0C5AE" w14:textId="77777777" w:rsidR="002E1D92" w:rsidRPr="00357A6B" w:rsidRDefault="002E1D92" w:rsidP="00357A6B">
      <w:pPr>
        <w:rPr>
          <w:sz w:val="24"/>
          <w:szCs w:val="24"/>
        </w:rPr>
      </w:pPr>
    </w:p>
    <w:p w14:paraId="788C5CC8" w14:textId="16027B74" w:rsidR="00357A6B" w:rsidRPr="00357A6B" w:rsidRDefault="002E1D92" w:rsidP="00357A6B">
      <w:r w:rsidRPr="002E1D92">
        <w:lastRenderedPageBreak/>
        <w:drawing>
          <wp:inline distT="0" distB="0" distL="0" distR="0" wp14:anchorId="7846DEB0" wp14:editId="5687EBE1">
            <wp:extent cx="6828544" cy="4036139"/>
            <wp:effectExtent l="0" t="0" r="0" b="2540"/>
            <wp:docPr id="1420852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852971" name=""/>
                    <pic:cNvPicPr/>
                  </pic:nvPicPr>
                  <pic:blipFill>
                    <a:blip r:embed="rId6"/>
                    <a:stretch>
                      <a:fillRect/>
                    </a:stretch>
                  </pic:blipFill>
                  <pic:spPr>
                    <a:xfrm>
                      <a:off x="0" y="0"/>
                      <a:ext cx="6933186" cy="4097990"/>
                    </a:xfrm>
                    <a:prstGeom prst="rect">
                      <a:avLst/>
                    </a:prstGeom>
                  </pic:spPr>
                </pic:pic>
              </a:graphicData>
            </a:graphic>
          </wp:inline>
        </w:drawing>
      </w:r>
    </w:p>
    <w:sectPr w:rsidR="00357A6B" w:rsidRPr="00357A6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FC07AF"/>
    <w:multiLevelType w:val="hybridMultilevel"/>
    <w:tmpl w:val="EDCADB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51B5D11"/>
    <w:multiLevelType w:val="hybridMultilevel"/>
    <w:tmpl w:val="CD56F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CE528B0"/>
    <w:multiLevelType w:val="hybridMultilevel"/>
    <w:tmpl w:val="0744F9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861793">
    <w:abstractNumId w:val="2"/>
  </w:num>
  <w:num w:numId="2" w16cid:durableId="1175345623">
    <w:abstractNumId w:val="1"/>
  </w:num>
  <w:num w:numId="3" w16cid:durableId="1008773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A6B"/>
    <w:rsid w:val="002E1D92"/>
    <w:rsid w:val="00357A6B"/>
    <w:rsid w:val="00E52D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21489"/>
  <w15:chartTrackingRefBased/>
  <w15:docId w15:val="{7FE438C7-7A30-4302-AA32-97813D919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7A6B"/>
  </w:style>
  <w:style w:type="paragraph" w:styleId="Heading1">
    <w:name w:val="heading 1"/>
    <w:basedOn w:val="Normal"/>
    <w:next w:val="Normal"/>
    <w:link w:val="Heading1Char"/>
    <w:uiPriority w:val="9"/>
    <w:qFormat/>
    <w:rsid w:val="00357A6B"/>
    <w:pPr>
      <w:keepNext/>
      <w:keepLines/>
      <w:pBdr>
        <w:bottom w:val="single" w:sz="4" w:space="1" w:color="90C226" w:themeColor="accent1"/>
      </w:pBdr>
      <w:spacing w:before="400" w:after="40" w:line="240" w:lineRule="auto"/>
      <w:outlineLvl w:val="0"/>
    </w:pPr>
    <w:rPr>
      <w:rFonts w:asciiTheme="majorHAnsi" w:eastAsiaTheme="majorEastAsia" w:hAnsiTheme="majorHAnsi" w:cstheme="majorBidi"/>
      <w:color w:val="6B911C" w:themeColor="accent1" w:themeShade="BF"/>
      <w:sz w:val="36"/>
      <w:szCs w:val="36"/>
    </w:rPr>
  </w:style>
  <w:style w:type="paragraph" w:styleId="Heading2">
    <w:name w:val="heading 2"/>
    <w:basedOn w:val="Normal"/>
    <w:next w:val="Normal"/>
    <w:link w:val="Heading2Char"/>
    <w:uiPriority w:val="9"/>
    <w:semiHidden/>
    <w:unhideWhenUsed/>
    <w:qFormat/>
    <w:rsid w:val="00357A6B"/>
    <w:pPr>
      <w:keepNext/>
      <w:keepLines/>
      <w:spacing w:before="160" w:after="0" w:line="240" w:lineRule="auto"/>
      <w:outlineLvl w:val="1"/>
    </w:pPr>
    <w:rPr>
      <w:rFonts w:asciiTheme="majorHAnsi" w:eastAsiaTheme="majorEastAsia" w:hAnsiTheme="majorHAnsi" w:cstheme="majorBidi"/>
      <w:color w:val="6B911C" w:themeColor="accent1" w:themeShade="BF"/>
      <w:sz w:val="28"/>
      <w:szCs w:val="28"/>
    </w:rPr>
  </w:style>
  <w:style w:type="paragraph" w:styleId="Heading3">
    <w:name w:val="heading 3"/>
    <w:basedOn w:val="Normal"/>
    <w:next w:val="Normal"/>
    <w:link w:val="Heading3Char"/>
    <w:uiPriority w:val="9"/>
    <w:semiHidden/>
    <w:unhideWhenUsed/>
    <w:qFormat/>
    <w:rsid w:val="00357A6B"/>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357A6B"/>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357A6B"/>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357A6B"/>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357A6B"/>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357A6B"/>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357A6B"/>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7A6B"/>
    <w:rPr>
      <w:rFonts w:asciiTheme="majorHAnsi" w:eastAsiaTheme="majorEastAsia" w:hAnsiTheme="majorHAnsi" w:cstheme="majorBidi"/>
      <w:color w:val="6B911C" w:themeColor="accent1" w:themeShade="BF"/>
      <w:sz w:val="36"/>
      <w:szCs w:val="36"/>
    </w:rPr>
  </w:style>
  <w:style w:type="character" w:customStyle="1" w:styleId="Heading2Char">
    <w:name w:val="Heading 2 Char"/>
    <w:basedOn w:val="DefaultParagraphFont"/>
    <w:link w:val="Heading2"/>
    <w:uiPriority w:val="9"/>
    <w:semiHidden/>
    <w:rsid w:val="00357A6B"/>
    <w:rPr>
      <w:rFonts w:asciiTheme="majorHAnsi" w:eastAsiaTheme="majorEastAsia" w:hAnsiTheme="majorHAnsi" w:cstheme="majorBidi"/>
      <w:color w:val="6B911C" w:themeColor="accent1" w:themeShade="BF"/>
      <w:sz w:val="28"/>
      <w:szCs w:val="28"/>
    </w:rPr>
  </w:style>
  <w:style w:type="character" w:customStyle="1" w:styleId="Heading3Char">
    <w:name w:val="Heading 3 Char"/>
    <w:basedOn w:val="DefaultParagraphFont"/>
    <w:link w:val="Heading3"/>
    <w:uiPriority w:val="9"/>
    <w:semiHidden/>
    <w:rsid w:val="00357A6B"/>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semiHidden/>
    <w:rsid w:val="00357A6B"/>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357A6B"/>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357A6B"/>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357A6B"/>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357A6B"/>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357A6B"/>
    <w:rPr>
      <w:rFonts w:asciiTheme="majorHAnsi" w:eastAsiaTheme="majorEastAsia" w:hAnsiTheme="majorHAnsi" w:cstheme="majorBidi"/>
      <w:i/>
      <w:iCs/>
      <w:smallCaps/>
      <w:color w:val="595959" w:themeColor="text1" w:themeTint="A6"/>
    </w:rPr>
  </w:style>
  <w:style w:type="paragraph" w:styleId="Title">
    <w:name w:val="Title"/>
    <w:basedOn w:val="Normal"/>
    <w:next w:val="Normal"/>
    <w:link w:val="TitleChar"/>
    <w:uiPriority w:val="10"/>
    <w:qFormat/>
    <w:rsid w:val="00357A6B"/>
    <w:pPr>
      <w:spacing w:after="0" w:line="240" w:lineRule="auto"/>
      <w:contextualSpacing/>
    </w:pPr>
    <w:rPr>
      <w:rFonts w:asciiTheme="majorHAnsi" w:eastAsiaTheme="majorEastAsia" w:hAnsiTheme="majorHAnsi" w:cstheme="majorBidi"/>
      <w:color w:val="6B911C" w:themeColor="accent1" w:themeShade="BF"/>
      <w:spacing w:val="-7"/>
      <w:sz w:val="80"/>
      <w:szCs w:val="80"/>
    </w:rPr>
  </w:style>
  <w:style w:type="character" w:customStyle="1" w:styleId="TitleChar">
    <w:name w:val="Title Char"/>
    <w:basedOn w:val="DefaultParagraphFont"/>
    <w:link w:val="Title"/>
    <w:uiPriority w:val="10"/>
    <w:rsid w:val="00357A6B"/>
    <w:rPr>
      <w:rFonts w:asciiTheme="majorHAnsi" w:eastAsiaTheme="majorEastAsia" w:hAnsiTheme="majorHAnsi" w:cstheme="majorBidi"/>
      <w:color w:val="6B911C" w:themeColor="accent1" w:themeShade="BF"/>
      <w:spacing w:val="-7"/>
      <w:sz w:val="80"/>
      <w:szCs w:val="80"/>
    </w:rPr>
  </w:style>
  <w:style w:type="paragraph" w:styleId="Subtitle">
    <w:name w:val="Subtitle"/>
    <w:basedOn w:val="Normal"/>
    <w:next w:val="Normal"/>
    <w:link w:val="SubtitleChar"/>
    <w:uiPriority w:val="11"/>
    <w:qFormat/>
    <w:rsid w:val="00357A6B"/>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357A6B"/>
    <w:rPr>
      <w:rFonts w:asciiTheme="majorHAnsi" w:eastAsiaTheme="majorEastAsia" w:hAnsiTheme="majorHAnsi" w:cstheme="majorBidi"/>
      <w:color w:val="404040" w:themeColor="text1" w:themeTint="BF"/>
      <w:sz w:val="30"/>
      <w:szCs w:val="30"/>
    </w:rPr>
  </w:style>
  <w:style w:type="paragraph" w:styleId="Quote">
    <w:name w:val="Quote"/>
    <w:basedOn w:val="Normal"/>
    <w:next w:val="Normal"/>
    <w:link w:val="QuoteChar"/>
    <w:uiPriority w:val="29"/>
    <w:qFormat/>
    <w:rsid w:val="00357A6B"/>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357A6B"/>
    <w:rPr>
      <w:i/>
      <w:iCs/>
    </w:rPr>
  </w:style>
  <w:style w:type="paragraph" w:styleId="ListParagraph">
    <w:name w:val="List Paragraph"/>
    <w:basedOn w:val="Normal"/>
    <w:uiPriority w:val="34"/>
    <w:qFormat/>
    <w:rsid w:val="00357A6B"/>
    <w:pPr>
      <w:ind w:left="720"/>
      <w:contextualSpacing/>
    </w:pPr>
  </w:style>
  <w:style w:type="character" w:styleId="IntenseEmphasis">
    <w:name w:val="Intense Emphasis"/>
    <w:basedOn w:val="DefaultParagraphFont"/>
    <w:uiPriority w:val="21"/>
    <w:qFormat/>
    <w:rsid w:val="00357A6B"/>
    <w:rPr>
      <w:b/>
      <w:bCs/>
      <w:i/>
      <w:iCs/>
    </w:rPr>
  </w:style>
  <w:style w:type="paragraph" w:styleId="IntenseQuote">
    <w:name w:val="Intense Quote"/>
    <w:basedOn w:val="Normal"/>
    <w:next w:val="Normal"/>
    <w:link w:val="IntenseQuoteChar"/>
    <w:uiPriority w:val="30"/>
    <w:qFormat/>
    <w:rsid w:val="00357A6B"/>
    <w:pPr>
      <w:spacing w:before="100" w:beforeAutospacing="1" w:after="240"/>
      <w:ind w:left="864" w:right="864"/>
      <w:jc w:val="center"/>
    </w:pPr>
    <w:rPr>
      <w:rFonts w:asciiTheme="majorHAnsi" w:eastAsiaTheme="majorEastAsia" w:hAnsiTheme="majorHAnsi" w:cstheme="majorBidi"/>
      <w:color w:val="90C226" w:themeColor="accent1"/>
      <w:sz w:val="28"/>
      <w:szCs w:val="28"/>
    </w:rPr>
  </w:style>
  <w:style w:type="character" w:customStyle="1" w:styleId="IntenseQuoteChar">
    <w:name w:val="Intense Quote Char"/>
    <w:basedOn w:val="DefaultParagraphFont"/>
    <w:link w:val="IntenseQuote"/>
    <w:uiPriority w:val="30"/>
    <w:rsid w:val="00357A6B"/>
    <w:rPr>
      <w:rFonts w:asciiTheme="majorHAnsi" w:eastAsiaTheme="majorEastAsia" w:hAnsiTheme="majorHAnsi" w:cstheme="majorBidi"/>
      <w:color w:val="90C226" w:themeColor="accent1"/>
      <w:sz w:val="28"/>
      <w:szCs w:val="28"/>
    </w:rPr>
  </w:style>
  <w:style w:type="character" w:styleId="IntenseReference">
    <w:name w:val="Intense Reference"/>
    <w:basedOn w:val="DefaultParagraphFont"/>
    <w:uiPriority w:val="32"/>
    <w:qFormat/>
    <w:rsid w:val="00357A6B"/>
    <w:rPr>
      <w:b/>
      <w:bCs/>
      <w:smallCaps/>
      <w:u w:val="single"/>
    </w:rPr>
  </w:style>
  <w:style w:type="paragraph" w:styleId="Caption">
    <w:name w:val="caption"/>
    <w:basedOn w:val="Normal"/>
    <w:next w:val="Normal"/>
    <w:uiPriority w:val="35"/>
    <w:semiHidden/>
    <w:unhideWhenUsed/>
    <w:qFormat/>
    <w:rsid w:val="00357A6B"/>
    <w:pPr>
      <w:spacing w:line="240" w:lineRule="auto"/>
    </w:pPr>
    <w:rPr>
      <w:b/>
      <w:bCs/>
      <w:color w:val="404040" w:themeColor="text1" w:themeTint="BF"/>
      <w:sz w:val="20"/>
      <w:szCs w:val="20"/>
    </w:rPr>
  </w:style>
  <w:style w:type="character" w:styleId="Strong">
    <w:name w:val="Strong"/>
    <w:basedOn w:val="DefaultParagraphFont"/>
    <w:uiPriority w:val="22"/>
    <w:qFormat/>
    <w:rsid w:val="00357A6B"/>
    <w:rPr>
      <w:b/>
      <w:bCs/>
    </w:rPr>
  </w:style>
  <w:style w:type="character" w:styleId="Emphasis">
    <w:name w:val="Emphasis"/>
    <w:basedOn w:val="DefaultParagraphFont"/>
    <w:uiPriority w:val="20"/>
    <w:qFormat/>
    <w:rsid w:val="00357A6B"/>
    <w:rPr>
      <w:i/>
      <w:iCs/>
    </w:rPr>
  </w:style>
  <w:style w:type="paragraph" w:styleId="NoSpacing">
    <w:name w:val="No Spacing"/>
    <w:uiPriority w:val="1"/>
    <w:qFormat/>
    <w:rsid w:val="00357A6B"/>
    <w:pPr>
      <w:spacing w:after="0" w:line="240" w:lineRule="auto"/>
    </w:pPr>
  </w:style>
  <w:style w:type="character" w:styleId="SubtleEmphasis">
    <w:name w:val="Subtle Emphasis"/>
    <w:basedOn w:val="DefaultParagraphFont"/>
    <w:uiPriority w:val="19"/>
    <w:qFormat/>
    <w:rsid w:val="00357A6B"/>
    <w:rPr>
      <w:i/>
      <w:iCs/>
      <w:color w:val="595959" w:themeColor="text1" w:themeTint="A6"/>
    </w:rPr>
  </w:style>
  <w:style w:type="character" w:styleId="SubtleReference">
    <w:name w:val="Subtle Reference"/>
    <w:basedOn w:val="DefaultParagraphFont"/>
    <w:uiPriority w:val="31"/>
    <w:qFormat/>
    <w:rsid w:val="00357A6B"/>
    <w:rPr>
      <w:smallCaps/>
      <w:color w:val="404040" w:themeColor="text1" w:themeTint="BF"/>
    </w:rPr>
  </w:style>
  <w:style w:type="character" w:styleId="BookTitle">
    <w:name w:val="Book Title"/>
    <w:basedOn w:val="DefaultParagraphFont"/>
    <w:uiPriority w:val="33"/>
    <w:qFormat/>
    <w:rsid w:val="00357A6B"/>
    <w:rPr>
      <w:b/>
      <w:bCs/>
      <w:smallCaps/>
    </w:rPr>
  </w:style>
  <w:style w:type="paragraph" w:styleId="TOCHeading">
    <w:name w:val="TOC Heading"/>
    <w:basedOn w:val="Heading1"/>
    <w:next w:val="Normal"/>
    <w:uiPriority w:val="39"/>
    <w:semiHidden/>
    <w:unhideWhenUsed/>
    <w:qFormat/>
    <w:rsid w:val="00357A6B"/>
    <w:pPr>
      <w:outlineLvl w:val="9"/>
    </w:pPr>
  </w:style>
  <w:style w:type="paragraph" w:styleId="NormalWeb">
    <w:name w:val="Normal (Web)"/>
    <w:basedOn w:val="Normal"/>
    <w:uiPriority w:val="99"/>
    <w:semiHidden/>
    <w:unhideWhenUsed/>
    <w:rsid w:val="00357A6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Facet">
  <a:themeElements>
    <a:clrScheme name="Facet">
      <a:dk1>
        <a:sysClr val="windowText" lastClr="000000"/>
      </a:dk1>
      <a:lt1>
        <a:sysClr val="window" lastClr="FFFFFF"/>
      </a:lt1>
      <a:dk2>
        <a:srgbClr val="2C3C43"/>
      </a:dk2>
      <a:lt2>
        <a:srgbClr val="EBEBEB"/>
      </a:lt2>
      <a:accent1>
        <a:srgbClr val="90C226"/>
      </a:accent1>
      <a:accent2>
        <a:srgbClr val="54A021"/>
      </a:accent2>
      <a:accent3>
        <a:srgbClr val="E6B91E"/>
      </a:accent3>
      <a:accent4>
        <a:srgbClr val="E76618"/>
      </a:accent4>
      <a:accent5>
        <a:srgbClr val="C42F1A"/>
      </a:accent5>
      <a:accent6>
        <a:srgbClr val="918655"/>
      </a:accent6>
      <a:hlink>
        <a:srgbClr val="99CA3C"/>
      </a:hlink>
      <a:folHlink>
        <a:srgbClr val="B9D181"/>
      </a:folHlink>
    </a:clrScheme>
    <a:fontScheme name="Facet">
      <a:majorFont>
        <a:latin typeface="Trebuchet MS" panose="020B0603020202020204"/>
        <a:ea typeface=""/>
        <a:cs typeface=""/>
        <a:font script="Jpan" typeface="メイリオ"/>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メイリオ"/>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Facet">
      <a:fillStyleLst>
        <a:solidFill>
          <a:schemeClr val="phClr"/>
        </a:solidFill>
        <a:gradFill rotWithShape="1">
          <a:gsLst>
            <a:gs pos="0">
              <a:schemeClr val="phClr">
                <a:tint val="65000"/>
                <a:lumMod val="110000"/>
              </a:schemeClr>
            </a:gs>
            <a:gs pos="88000">
              <a:schemeClr val="phClr">
                <a:tint val="90000"/>
              </a:schemeClr>
            </a:gs>
          </a:gsLst>
          <a:lin ang="5400000" scaled="0"/>
        </a:gradFill>
        <a:gradFill rotWithShape="1">
          <a:gsLst>
            <a:gs pos="0">
              <a:schemeClr val="phClr">
                <a:tint val="96000"/>
                <a:lumMod val="100000"/>
              </a:schemeClr>
            </a:gs>
            <a:gs pos="78000">
              <a:schemeClr val="phClr">
                <a:shade val="94000"/>
                <a:lumMod val="94000"/>
              </a:schemeClr>
            </a:gs>
          </a:gsLst>
          <a:lin ang="5400000" scaled="0"/>
        </a:gradFill>
      </a:fillStyleLst>
      <a:lnStyleLst>
        <a:ln w="12700"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35000"/>
              </a:srgbClr>
            </a:outerShdw>
          </a:effectLst>
        </a:effectStyle>
        <a:effectStyle>
          <a:effectLst>
            <a:outerShdw blurRad="50800" dist="38100" dir="5400000" rotWithShape="0">
              <a:srgbClr val="000000">
                <a:alpha val="35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0000"/>
                <a:lumMod val="104000"/>
              </a:schemeClr>
            </a:gs>
            <a:gs pos="94000">
              <a:schemeClr val="phClr">
                <a:shade val="96000"/>
                <a:lumMod val="82000"/>
              </a:schemeClr>
            </a:gs>
          </a:gsLst>
          <a:lin ang="5400000" scaled="0"/>
        </a:gradFill>
        <a:gradFill rotWithShape="1">
          <a:gsLst>
            <a:gs pos="0">
              <a:schemeClr val="phClr">
                <a:tint val="90000"/>
                <a:lumMod val="110000"/>
              </a:schemeClr>
            </a:gs>
            <a:gs pos="100000">
              <a:schemeClr val="phClr">
                <a:shade val="94000"/>
                <a:lumMod val="9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Facet" id="{C0C680CD-088A-49FC-A102-D699147F32B2}" vid="{CFBC31BA-B70F-4F30-BCAA-4F3011E16C4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A6B8DD-1630-4F7B-9DFA-BFA0BAA174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4</Pages>
  <Words>462</Words>
  <Characters>2638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Bharti Jonwal</dc:creator>
  <cp:keywords/>
  <dc:description/>
  <cp:lastModifiedBy>Bharti Jonwal</cp:lastModifiedBy>
  <cp:revision>1</cp:revision>
  <dcterms:created xsi:type="dcterms:W3CDTF">2026-02-22T16:54:00Z</dcterms:created>
  <dcterms:modified xsi:type="dcterms:W3CDTF">2026-02-22T17:12:00Z</dcterms:modified>
</cp:coreProperties>
</file>