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Corp</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15th,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AK</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AK</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AK</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Corp</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AKkumar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Aruba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AI Content Generation in DOCX Files</w:t>
      </w:r>
      <w:r>
        <w:br/>
      </w:r>
      <w:r>
        <w:rPr>
          <w:rFonts w:asciiTheme="minorHAnsi" w:eastAsiaTheme="minorHAnsi" w:hAnsiTheme="minorHAnsi" w:cstheme="minorBidi"/>
          <w:kern w:val="2"/>
          <w:sz w:val="22"/>
          <w:szCs w:val="22"/>
          <w:lang w:eastAsia="en-US"/>
        </w:rPr>
        <w:t xml:space="preserve">To generate company-specific content like 'Company website' and 'Year founded' in DOCX files, first identify the company's sector during the intake process. Collect data from corporate databases or platforms like Google Finance and determine competitors using sector and company descriptions. If data is missing, mark as 'Not Available'. These steps ensure standardized data for due diligence documents.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Term Sheet vs. Subscription Document</w:t>
      </w:r>
      <w:r>
        <w:br/>
      </w:r>
      <w:r>
        <w:rPr>
          <w:rFonts w:asciiTheme="minorHAnsi" w:eastAsiaTheme="minorHAnsi" w:hAnsiTheme="minorHAnsi" w:cstheme="minorBidi"/>
          <w:kern w:val="2"/>
          <w:sz w:val="22"/>
          <w:szCs w:val="22"/>
          <w:lang w:eastAsia="en-US"/>
        </w:rPr>
        <w:t xml:space="preserve">A Term Sheet is a non-binding summary of the investment terms and the first document shared with potential investors to show intent. The Subscription Document is a binding agreement committing the investor to the transaction and involves the transfer of capital. Both documents are crucial per investment round, which include stages from Pre-Seed to Bridge Round.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 Handling and Future Development Plans</w:t>
      </w:r>
      <w:r>
        <w:br/>
      </w:r>
      <w:r>
        <w:rPr>
          <w:rFonts w:asciiTheme="minorHAnsi" w:eastAsiaTheme="minorHAnsi" w:hAnsiTheme="minorHAnsi" w:cstheme="minorBidi"/>
          <w:kern w:val="2"/>
          <w:sz w:val="22"/>
          <w:szCs w:val="22"/>
          <w:lang w:eastAsia="en-US"/>
        </w:rPr>
        <w:t xml:space="preserve">Currently, Term Sheets and Subscription Documents are only reviewable on our platform without electronic signing or finalizing capabilities. Future developments aim to enable end-to-end digital facilitation, including reviewing, signing, and storing documents. Partnerships with law firms and escrow agents are also planned to support actual capital transactions, enhancing efficiency.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AI Content Generation in DOCX Files</w:t>
      </w:r>
      <w:r>
        <w:br/>
      </w:r>
      <w:r>
        <w:t xml:space="preserve">To generate company-specific content like 'Company website' and 'Year founded' in DOCX files, first identify the company's sector during the intake process. Collect data from corporate databases or platforms like Google Finance and determine competitors using sector and company descriptions. If data is missing, mark as 'Not Available'. These steps ensure standardized data for due diligence documents.</w:t>
      </w:r>
      <w:r>
        <w:br/>
      </w:r>
      <w:r>
        <w:t/>
      </w:r>
      <w:r>
        <w:br/>
      </w:r>
      <w:r>
        <w:t xml:space="preserve">Term Sheet vs. Subscription Document</w:t>
      </w:r>
      <w:r>
        <w:br/>
      </w:r>
      <w:r>
        <w:t xml:space="preserve">A Term Sheet is a non-binding summary of the investment terms and the first document shared with potential investors to show intent. The Subscription Document is a binding agreement committing the investor to the transaction and involves the transfer of capital. Both documents are crucial per investment round, which incl</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AI Content Generation in DOCX</w:t>
      </w:r>
      <w:r>
        <w:br/>
      </w:r>
      <w:r>
        <w:t xml:space="preserve">The process of generating content such as 'Company website' and 'Year founded' involves identifying the company's sector, gathering data from corporate databases or platforms like Google Finance, identifying competitors using scripts, and standardizing missing data by marking 'Not Available' where information is lacking. This data is then integrated into the due diligence document.</w:t>
      </w:r>
      <w:r>
        <w:br/>
      </w:r>
      <w:r>
        <w:t/>
      </w:r>
      <w:r>
        <w:br/>
      </w:r>
      <w:r>
        <w:t xml:space="preserve">Term Sheet vs. Subscription Document</w:t>
      </w:r>
      <w:r>
        <w:br/>
      </w:r>
      <w:r>
        <w:t xml:space="preserve">The Term Sheet is a non-binding outline of investment terms, initially shared with potential investors to indicate intent. The Subscription Document is a binding agreement that details legal terms and commits the investor to the deal upon signature and capital transfer. Currently, both documents are provided for review but cannot be signed elect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specific examples of how data accuracy is ensured when extracting information from corporate databases and platforms like Google Finance for AI content generation?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are in place to ensure the security and confidentiality of the documents during digital review, signature, and storage in the future development plans?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h2</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is the company planning to handle legal and regulatory compliance concerns when enabling electronic signatures and capital transfer through partnerships with law firms and escrow agents?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h3</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User Query and Zoom Link Generation</w:t>
      </w:r>
      <w:r>
        <w:br/>
      </w:r>
      <w:r>
        <w:rPr>
          <w:highlight w:val="yellow"/>
        </w:rPr>
        <w:t xml:space="preserve">The document includes queries about handling user submissions for generating Zoom links. The primary confusion is whether Zoom links should be sent to all users or just those who submit the form. This needs clarification on user list management and link distribution protocol.</w:t>
      </w:r>
      <w:r>
        <w:br/>
      </w:r>
      <w:r>
        <w:rPr>
          <w:highlight w:val="yellow"/>
        </w:rPr>
        <w:t/>
      </w:r>
      <w:r>
        <w:br/>
      </w:r>
      <w:r>
        <w:rPr>
          <w:highlight w:val="yellow"/>
        </w:rPr>
        <w:t xml:space="preserve">Entrepreneur Academy Sign-up and Modules</w:t>
      </w:r>
      <w:r>
        <w:br/>
      </w:r>
      <w:r>
        <w:rPr>
          <w:highlight w:val="yellow"/>
        </w:rPr>
        <w:t xml:space="preserve">Entrepreneurs can sign up for an Entrepreneur Academy with limited slots per cohort, such as for the month of April. Each entrepreneur manages their own pace and can schedule modules accordingly. The system must track their enrollment and module participation.</w:t>
      </w:r>
      <w:r>
        <w:br/>
      </w:r>
      <w:r>
        <w:rPr>
          <w:highlight w:val="yellow"/>
        </w:rPr>
        <w:t/>
      </w:r>
      <w:r>
        <w:br/>
      </w:r>
      <w:r>
        <w:rPr>
          <w:highlight w:val="yellow"/>
        </w:rPr>
        <w:t xml:space="preserve">Document and Category Management</w:t>
      </w:r>
      <w:r>
        <w:br/>
      </w:r>
      <w:r>
        <w:rPr>
          <w:highlight w:val="yellow"/>
        </w:rPr>
        <w:t xml:space="preserve">The system should allow the addition of 'ADDITIONAL DOCUMENTS' at the end of each category. Entrepreneurs might need the capability to minimize and ma</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protocols on how user submissions are verified and managed before Zoom links are generated and distributed? Specifically, how do you ensure the security and privacy of the user data involved in this process?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mechanisms are in place to ensure content security for the proprietary educational videos, especially given their restriction on downloads and multiple views? How do you handle potential copyright breaches or unauthorized sharing?</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g</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Could you elaborate on your pricing strategy for the modules and provide insights into how price variation and access restrictions are determined for different markets or distribution channels?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f</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iFAST Corporation Ltd.AIY.SI</w:t>
            </w:r>
          </w:p>
        </w:tc>
      </w:tr>
      <w:tr w:rsidR="007656EA" w:rsidTr="000F4410">
        <w:tc>
          <w:tcPr>
            <w:tcW w:w="9350" w:type="dxa"/>
            <w:gridSpan w:val="2"/>
          </w:tcPr>
          <w:p w:rsidR="007656EA" w:rsidRDefault="004B46A0" w:rsidP="000F4410">
            <w:r>
              <w:t xml:space="preserve">iFAST Corporation Ltd. operates as a digital banking and wealth management platform in Singapore, Hong Kong, Malaysia, China, the United Kingdom, and internationally. The company offers FSM One, a multiproduct transactional platform for self-directed investors; iFAST Central, which provides a range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https://www.ifastcorp.com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**Public and Press Sentiment Summary: Apple Inc.** Apple Inc., a global leader in technology, continues to shape the market with its innovative products including iPhones, Macs, iPads, and various wearables. The company's reputation for quality and innovation has helped it maintain a prominent position in the technology sector. However, Apple's journey is punctuated with both acclaim and challenges. **Public Perception** Apple enjoys a robust brand loyalty that is evident from its large and dedicated customer base. Consumers are drawn to the seamless integration across Apple's product line, the aesthetic design, and the perceived prestige associated with the brand. The company's commitment to privacy, as emphasized in its recent advertising campaigns, has also resonated well with the public, especially in an era where data breaches and privacy concerns are rampant. However, Apple is not without its detractors. The high price point of its products continues to be a point of contention among consumers, positioning the brand as a premium option that is not accessible to all. Additionally, some users express frustration over the perceived planned obsolescence of its devices, a topic that often resurfaces with each new product release. **Reputational Risks and PR Challenges** Apple has faced several reputational risks and public relations challenges. Criticisms over labor practices in its supply chain, particularly in relation to worker conditions at factories of its suppliers, have sparked backlash and demands for greater transparency and responsibility. Environmental concerns also loom large, with activists calling for more aggressive action on reducing carbon footprints and improving the sustainability of product lifecycles. Intellectual property disputes and legal battles, such as the high-profile case with Qualcomm over patent licensing, have also posed challenges, occasionally casting the company in a contentious light in the media and public forums. **Press Coverage Highlights** Press coverage of Apple tends to oscillate between praise for its innovation and criticism over issues like pricing, repairability, and corporate practices. Product launches consistently garner significant positive attention, highlighting advancements in technology and design that are often seen as setting the bar for the industry. For instance, the introduction of the M1 chip was widely covered, with many noting its potential to revolutionize the personal computing segment. Conversely, investigative reports into the working conditions at supplier factories or the environmental impact of Apple's business practices often generate negative press. These stories usually spark discussions on corporate responsibility and ethical business practices, reflecting a growing expectation for leading companies to uphold high standards. **Industry Sentiment and Competitive Positioning** In the competitive landscape, Apple stands out for its ability to integrate hardware and software, a strategy that has afforded it considerable control over the entire user experience. This integration is a key factor distinguishing Apple from competitors like Samsung and Google, who rely more heavily on partnerships for software. The tech industry views Apple as a trendsetter. Its decisions, from removing headphone jacks to transitioning to its own silicon for Macs, often set new industry standards, prompting rivals to adopt similar innovations. However, this leadership position also places Apple under intense scrutiny, with every move and decision closely analyzed and critiqued. **Conclusion** Overall, Apple Inc. maintains a strong position in the public eye and the industry, bolstered by a history of innovation and a comprehensive ecosystem of products. While it faces ongoing challenges related to pricing, corporate responsibility, and competition, its proactive approach to addressing privacy concerns and its continuous push for technological advancement help maintain its status as a leader in the tech industry. Moving forward, Apple will need to balance its drive for innovation with increasing calls for ethical and sustainable business practices to sustain its positive...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Sustainability Initiatives Report Intellectual Property Portfolio Overview Global Supply Chain Management Strategy Research and Development Focus Areas Employee Diversity and Inclusion Statistics Market Expansion Plans and Analysis Customer Service and Support Framework</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Corp</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