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My corp</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August 12th,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New user</w:t>
      </w:r>
      <w:bookmarkEnd w:id="6"/>
      <w:r w:rsidR="00B438D1">
        <w:rPr>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New user</w:t>
      </w:r>
      <w:r w:rsidR="0031444E" w:rsidRPr="0031444E">
        <w:rPr>
          <w:highlight w:val="yellow"/>
          <w:u w:val="single"/>
        </w:rPr>
        <w:t xml:space="preserve"> </w:t>
      </w:r>
      <w:bookmarkEnd w:id="7"/>
      <w:r w:rsidR="00881526">
        <w:rPr>
          <w:u w:val="single"/>
        </w:rPr>
        <w:t xml:space="preserve">kumar</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New user</w:t>
      </w:r>
      <w:r w:rsidR="00881526" w:rsidRPr="0031444E">
        <w:rPr>
          <w:highlight w:val="yellow"/>
          <w:u w:val="single"/>
        </w:rPr>
        <w:t xml:space="preserve"> </w:t>
      </w:r>
      <w:r w:rsidR="00881526">
        <w:rPr>
          <w:u w:val="single"/>
        </w:rPr>
        <w:t xml:space="preserve">kumar</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My corp</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New userkumar</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avinayquicktech+07@gmail.com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Bail-Hongal</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Entrepreneur Academy User Query Handling</w:t>
      </w:r>
      <w:r>
        <w:br/>
      </w:r>
      <w:r>
        <w:rPr>
          <w:rFonts w:asciiTheme="minorHAnsi" w:eastAsiaTheme="minorHAnsi" w:hAnsiTheme="minorHAnsi" w:cstheme="minorBidi"/>
          <w:kern w:val="2"/>
          <w:sz w:val="22"/>
          <w:szCs w:val="22"/>
          <w:lang w:eastAsia="en-US"/>
        </w:rPr>
        <w:t xml:space="preserve">Entrepreneurs can sign up for the Entrepreneur Academy, schedule modules, and view proprietary content videos with a limit of three views per video. Questions include clarification on user list management for Zoom link distribution, module access, and charging per module in multiple currencies.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Registration and Referral Tracking</w:t>
      </w:r>
      <w:r>
        <w:br/>
      </w:r>
      <w:r>
        <w:rPr>
          <w:rFonts w:asciiTheme="minorHAnsi" w:eastAsiaTheme="minorHAnsi" w:hAnsiTheme="minorHAnsi" w:cstheme="minorBidi"/>
          <w:kern w:val="2"/>
          <w:sz w:val="22"/>
          <w:szCs w:val="22"/>
          <w:lang w:eastAsia="en-US"/>
        </w:rPr>
        <w:t xml:space="preserve">Registration for the Entrepreneur Academy involves detailed company information entries, including industry type and company stage. A system is required to track and flag companies referred by partners for referral fees. Language selection will be added post-launch, and necessary adjustments include moving sections and requiring state selection only if applicable.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Pricing and Distribution</w:t>
      </w:r>
      <w:r>
        <w:br/>
      </w:r>
      <w:r>
        <w:rPr>
          <w:rFonts w:asciiTheme="minorHAnsi" w:eastAsiaTheme="minorHAnsi" w:hAnsiTheme="minorHAnsi" w:cstheme="minorBidi"/>
          <w:kern w:val="2"/>
          <w:sz w:val="22"/>
          <w:szCs w:val="22"/>
          <w:lang w:eastAsia="en-US"/>
        </w:rPr>
        <w:t xml:space="preserve">Modules, particularly for Hong Kong/China and North America, will be offered variably, with some cohorts accessing all modules while others only specific ones like the due diligence module. Each module can be charged independently, with setups for fixed fees per module or multiple modules.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Company Backend and Investor Engagement</w:t>
      </w:r>
      <w:r>
        <w:br/>
      </w:r>
      <w:r>
        <w:rPr>
          <w:rFonts w:asciiTheme="minorHAnsi" w:eastAsiaTheme="minorHAnsi" w:hAnsiTheme="minorHAnsi" w:cstheme="minorBidi"/>
          <w:kern w:val="2"/>
          <w:sz w:val="22"/>
          <w:szCs w:val="22"/>
          <w:lang w:eastAsia="en-US"/>
        </w:rPr>
        <w:t xml:space="preserve">The company backend is divided into various sections including Dataroom Management, Entrepreneur Academy Program, and Investor Reporting. Two main packages are offered with specifics on document generation and due diligence tools. Regular investor updates are emphasized for company accountability and investor engagement.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Updates System</w:t>
      </w:r>
      <w:r>
        <w:br/>
      </w:r>
      <w:r>
        <w:rPr>
          <w:rFonts w:asciiTheme="minorHAnsi" w:eastAsiaTheme="minorHAnsi" w:hAnsiTheme="minorHAnsi" w:cstheme="minorBidi"/>
          <w:kern w:val="2"/>
          <w:sz w:val="22"/>
          <w:szCs w:val="22"/>
          <w:lang w:eastAsia="en-US"/>
        </w:rPr>
        <w:t xml:space="preserve">The platform includes a structured system for quarterly investor reporting, where entrepreneurs update critical areas like financial performance, operational achievements, and market positioning. The AI cleans these entries into a detailed executive summary that entrepreneurs can review and approve, ensuring consistent investor communication.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Structure and Bank Account Setup</w:t>
      </w:r>
      <w:r>
        <w:br/>
      </w:r>
      <w:r>
        <w:rPr>
          <w:rFonts w:asciiTheme="minorHAnsi" w:eastAsiaTheme="minorHAnsi" w:hAnsiTheme="minorHAnsi" w:cstheme="minorBidi"/>
          <w:kern w:val="2"/>
          <w:sz w:val="22"/>
          <w:szCs w:val="22"/>
          <w:lang w:eastAsia="en-US"/>
        </w:rPr>
        <w:t xml:space="preserve">Until a permanent bank account is established in Hong Kong, transactions will temporarily go through a DIST stripe account. The establishment of a local bank account and setup for international payments are prioritized upon return to Hong Kong.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Entrepreneur Academy User Query Handling</w:t>
      </w:r>
      <w:r>
        <w:br/>
      </w:r>
      <w:r>
        <w:t xml:space="preserve">Entrepreneurs can sign up for the Entrepreneur Academy, schedule modules, and view proprietary content videos with a limit of three views per video. Questions include clarification on user list management for Zoom link distribution, module access, and charging per module in multiple currencies.</w:t>
      </w:r>
      <w:r>
        <w:br/>
      </w:r>
      <w:r>
        <w:t/>
      </w:r>
      <w:r>
        <w:br/>
      </w:r>
      <w:r>
        <w:t xml:space="preserve">Entrepreneur Academy Registration and Referral Tracking</w:t>
      </w:r>
      <w:r>
        <w:br/>
      </w:r>
      <w:r>
        <w:t xml:space="preserve">Registration for the Entrepreneur Academy involves detailed company information entries, including industry type and company stage. A system is required to track and flag companies referred by partners for referral fees. Language selection will be added post-launch, and necessary adjustments include moving sections and requiring state selection only if applicable.</w:t>
      </w:r>
      <w:r>
        <w:br/>
      </w:r>
      <w:r>
        <w:t/>
      </w:r>
      <w:r>
        <w:br/>
      </w:r>
      <w:r>
        <w:t xml:space="preserve">Module Pricing and Distribution</w:t>
      </w:r>
      <w:r>
        <w:br/>
      </w:r>
      <w:r>
        <w:t xml:space="preserve">Module</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BMO Short Corporate Bond Index ETF (AU)ZCS-L.TO</w:t>
            </w:r>
          </w:p>
        </w:tc>
      </w:tr>
      <w:tr w:rsidR="007656EA" w:rsidTr="000F4410">
        <w:tc>
          <w:tcPr>
            <w:tcW w:w="9350" w:type="dxa"/>
            <w:gridSpan w:val="2"/>
          </w:tcPr>
          <w:p w:rsidR="007656EA" w:rsidRDefault="001B6B7A" w:rsidP="000F4410">
            <w:r>
              <w:t xml:space="preserve">N/A</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iShares Core Canadian Corporate Bond Index ETFXCB.TO</w:t>
            </w:r>
          </w:p>
        </w:tc>
      </w:tr>
      <w:tr w:rsidR="007656EA" w:rsidTr="000F4410">
        <w:tc>
          <w:tcPr>
            <w:tcW w:w="9350" w:type="dxa"/>
            <w:gridSpan w:val="2"/>
          </w:tcPr>
          <w:p w:rsidR="007656EA" w:rsidRDefault="001B6B7A" w:rsidP="000F4410">
            <w:r>
              <w:t xml:space="preserve">N/A</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iShares Core Corporate Bond ETFICOR.AX</w:t>
            </w:r>
          </w:p>
        </w:tc>
      </w:tr>
      <w:tr w:rsidR="007656EA" w:rsidTr="000F4410">
        <w:tc>
          <w:tcPr>
            <w:tcW w:w="9350" w:type="dxa"/>
            <w:gridSpan w:val="2"/>
          </w:tcPr>
          <w:p w:rsidR="007656EA" w:rsidRDefault="006106EC" w:rsidP="000F4410">
            <w:r>
              <w:t xml:space="preserve">N/A</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Vanguard Australian Corporate Fixed Interest Index ETFVACF.AX</w:t>
            </w:r>
          </w:p>
        </w:tc>
      </w:tr>
      <w:tr w:rsidR="007656EA" w:rsidTr="000F4410">
        <w:tc>
          <w:tcPr>
            <w:tcW w:w="9350" w:type="dxa"/>
            <w:gridSpan w:val="2"/>
          </w:tcPr>
          <w:p w:rsidR="007656EA" w:rsidRDefault="006106EC" w:rsidP="000F4410">
            <w:r>
              <w:t xml:space="preserve">N/A</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CSOP ETF Series II - CSOP China Ultra Short-Term Bond ETF3122.HK</w:t>
            </w:r>
          </w:p>
        </w:tc>
      </w:tr>
      <w:tr w:rsidR="007656EA" w:rsidTr="000F4410">
        <w:tc>
          <w:tcPr>
            <w:tcW w:w="9350" w:type="dxa"/>
            <w:gridSpan w:val="2"/>
          </w:tcPr>
          <w:p w:rsidR="007656EA" w:rsidRDefault="00225A0A" w:rsidP="000F4410">
            <w:r>
              <w:t xml:space="preserve">N/A</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N/A</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N/A</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Phillip SGD Money Market ETFMMT.SI</w:t>
            </w:r>
          </w:p>
        </w:tc>
      </w:tr>
      <w:tr w:rsidR="007656EA" w:rsidTr="000F4410">
        <w:tc>
          <w:tcPr>
            <w:tcW w:w="9350" w:type="dxa"/>
            <w:gridSpan w:val="2"/>
          </w:tcPr>
          <w:p w:rsidR="007656EA" w:rsidRDefault="004B46A0" w:rsidP="000F4410">
            <w:r>
              <w:t xml:space="preserve">N/A</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 Public and Press Sentiment Summary: SPDR SSGA My2032 Corporate Bond ETF The SPDR SSGA My2032 Corporate Bond ETF, managed by SSGA Funds Management, Inc., is a niche financial product designed for investors looking to capitalize on corporate bonds maturing in the year 2032. This ETF offers a focused investment strategy that primarily involves corporate bonds, which may include those with issuer call options falling due within the specified year. This strategic focus positions the ETF uniquely in the market, catering to investors with specific medium-term investment horizons aligned with the 2032 maturity. #### Public Perception Public perception of the SPDR SSGA My2032 Corporate Bond ETF is generally positive, particularly among investors seeking predictable returns and those planning for financial goals around the year 2032, such as retirement or college funding. The fund's clear and focused investment objective is appreciated for its transparency and simplicity, making it an attractive option for individuals who might be overwhelmed by more complex investment vehicles. However, the fund's appeal is somewhat niche, attracting a segment of the market with specific investment timelines. This specialization may limit its attractiveness to a broader audience who may prefer more flexible investment options or those not aligned with the 2032 maturity date. #### Reputational Risks and PR Challenges One of the primary reputational risks for the SPDR SSGA My2032 Corporate Bond ETF involves market volatility and the potential impact of economic shifts on corporate bonds. Changes in interest rates, credit risk levels, and economic downturns could affect the performance of the bonds within the fund’s portfolio, potentially leading to negative public perception if not managed and communicated effectively. Additionally, the fund’s focus on bonds with embedded issuer call options could pose a risk. These options allow issuers to redeem bonds before their maturity date, which can affect the yields received by investors. This aspect must be clearly communicated to avoid misunderstandings and potential dissatisfaction among investors. #### Press Coverage Highlights Press coverage of the SPDR SSGA My2032 Corporate Bond ETF has been moderately positive, focusing on its unique market position and investment strategy. Financial journalists and analysts often highlight the fund as a prudent choice for goal-specific investors, emphasizing its suitability for those with a clear understanding of their investment timeline and risk profile. However, coverage also cautions potential investors about the risks associated with corporate bonds, including credit risks and the potential for early redemption by bond issuers. Some financial commentators have discussed the broader implications of investing in bonds nearing their maturity, offering a balanced view that includes potential rewards and risks. #### Industry Sentiment and Competitive Positioning Within the financial industry, the sentiment towards the SPDR SSGA My2032 Corporate Bond ETF is generally favorable. Industry experts recognize the fund’s strategic approach to investing in corporate bonds maturing in a specific year as a solid tactic for investors who are timeline-focused. This strategy is seen as a differentiator in a crowded market, providing the fund with a competitive edge. Competitively, the ETF stands out due to its unique focus compared to more general corporate bond funds. It directly competes with other fixed-income products that target specific maturity dates or durations but maintains a unique position with its exclusive focus on the year 2032. In conclusion, the SPDR SSGA My2032 Corporate Bond ETF is viewed positively for its strategic clarity and niche appeal, though it faces challenges related to market conditions and the specific nature of its bond holdings. Its reputation and success will depend significantly on its management team's ability to navigate economic changes and communicate effectively with investors about the inherent risks and opportunities of...</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Credit Risk Management Policies and Procedures Interest Rate Sensitivity Analysis Portfolio Diversification Strategy Historical Default Rates and Recovery Analysis Environmental, Social, and Governance (ESG) Investment Criteria Issuer Call Options Strategy and Impact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My corp</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