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User and Zoom Link Integration</w:t>
      </w:r>
      <w:r>
        <w:br/>
      </w:r>
      <w:r>
        <w:rPr>
          <w:rFonts w:asciiTheme="minorHAnsi" w:eastAsiaTheme="minorHAnsi" w:hAnsiTheme="minorHAnsi" w:cstheme="minorBidi"/>
          <w:kern w:val="2"/>
          <w:sz w:val="22"/>
          <w:szCs w:val="22"/>
          <w:lang w:eastAsia="en-US"/>
        </w:rPr>
        <w:t xml:space="preserve">Questions arise regarding the generation and distribution of Zoom links. The process involves users entering their name or email, upon which a Zoom link is sent to that email. There is confusion about whether links should be sent to all users or only the submitting individual, requiring clarification on user list acquisition and handling.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Entrepreneur Academy Enrollment</w:t>
      </w:r>
      <w:r>
        <w:br/>
      </w:r>
      <w:r>
        <w:rPr>
          <w:rFonts w:asciiTheme="minorHAnsi" w:eastAsiaTheme="minorHAnsi" w:hAnsiTheme="minorHAnsi" w:cstheme="minorBidi"/>
          <w:kern w:val="2"/>
          <w:sz w:val="22"/>
          <w:szCs w:val="22"/>
          <w:lang w:eastAsia="en-US"/>
        </w:rPr>
        <w:t xml:space="preserve">Entrepreneurs sign up for the Entrepreneur Academy, choosing from limited slots available monthly. The system must track each entrepreneur's sign-up and module progression to ensure the structured flow of course participation.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User Module Interaction</w:t>
      </w:r>
      <w:r>
        <w:br/>
      </w:r>
      <w:r>
        <w:rPr>
          <w:rFonts w:asciiTheme="minorHAnsi" w:eastAsiaTheme="minorHAnsi" w:hAnsiTheme="minorHAnsi" w:cstheme="minorBidi"/>
          <w:kern w:val="2"/>
          <w:sz w:val="22"/>
          <w:szCs w:val="22"/>
          <w:lang w:eastAsia="en-US"/>
        </w:rPr>
        <w:t xml:space="preserve">Entrepreneurs will be able to view educational videos within each module. Each video can be viewed a maximum of three times and cannot be downloaded or copied, protecting proprietary content. The completion of video viewing marks the module as finished.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Language and Market Considerations</w:t>
      </w:r>
      <w:r>
        <w:br/>
      </w:r>
      <w:r>
        <w:rPr>
          <w:rFonts w:asciiTheme="minorHAnsi" w:eastAsiaTheme="minorHAnsi" w:hAnsiTheme="minorHAnsi" w:cstheme="minorBidi"/>
          <w:kern w:val="2"/>
          <w:sz w:val="22"/>
          <w:szCs w:val="22"/>
          <w:lang w:eastAsia="en-US"/>
        </w:rPr>
        <w:t xml:space="preserve">Currently, modules are only in English, with plans to expand language offerings post-launch aligning with market needs in China, Hong Kong, Thailand, and India. The system requires specific language localization per country and multi-currency support.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Pricing Structure</w:t>
      </w:r>
      <w:r>
        <w:br/>
      </w:r>
      <w:r>
        <w:rPr>
          <w:rFonts w:asciiTheme="minorHAnsi" w:eastAsiaTheme="minorHAnsi" w:hAnsiTheme="minorHAnsi" w:cstheme="minorBidi"/>
          <w:kern w:val="2"/>
          <w:sz w:val="22"/>
          <w:szCs w:val="22"/>
          <w:lang w:eastAsia="en-US"/>
        </w:rPr>
        <w:t xml:space="preserve">The program includes five modules, with the initial four being chargeable. Queries exist regarding the pricing and accessibility of modules across different markets, such as exclusive offerings through distributors in Asia or specific modules made available in North America.</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Distribution Strategies</w:t>
      </w:r>
      <w:r>
        <w:br/>
      </w:r>
      <w:r>
        <w:rPr>
          <w:rFonts w:asciiTheme="minorHAnsi" w:eastAsiaTheme="minorHAnsi" w:hAnsiTheme="minorHAnsi" w:cstheme="minorBidi"/>
          <w:kern w:val="2"/>
          <w:sz w:val="22"/>
          <w:szCs w:val="22"/>
          <w:lang w:eastAsia="en-US"/>
        </w:rPr>
        <w:t xml:space="preserve">Distribution strategies vary with region, involving universities and incubators in Hong Kong/China and possible exclusivity of certain modules, like due diligence, in North America. Module independence is crucial to adapt to various business models and partnerships.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User and Zoom Link Integration</w:t>
      </w:r>
      <w:r>
        <w:br/>
      </w:r>
      <w:r>
        <w:t xml:space="preserve">Questions arise regarding the generation and distribution of Zoom links. The process involves users entering their name or email, upon which a Zoom link is sent to that email. There is confusion about whether links should be sent to all users or only the submitting individual, requiring clarification on user list acquisition and handling.</w:t>
      </w:r>
      <w:r>
        <w:br/>
      </w:r>
      <w:r>
        <w:t/>
      </w:r>
      <w:r>
        <w:br/>
      </w:r>
      <w:r>
        <w:t xml:space="preserve">Entrepreneur Academy Enrollment</w:t>
      </w:r>
      <w:r>
        <w:br/>
      </w:r>
      <w:r>
        <w:t xml:space="preserve">Entrepreneurs sign up for the Entrepreneur Academy, choosing from limited slots available monthly. The system must track each entrepreneur's sign-up and module progression to ensure the structured flow of course participation.</w:t>
      </w:r>
      <w:r>
        <w:br/>
      </w:r>
      <w:r>
        <w:t/>
      </w:r>
      <w:r>
        <w:br/>
      </w:r>
      <w:r>
        <w:t xml:space="preserve">User Module Interaction</w:t>
      </w:r>
      <w:r>
        <w:br/>
      </w:r>
      <w:r>
        <w:t xml:space="preserve">Entrepreneurs will be able to view educational videos within each module. Each video can be viewed a maximum of three times and cannot be downl</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