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DC10" w14:textId="77777777" w:rsidR="00A65B61" w:rsidRDefault="00000000">
      <w:pPr>
        <w:pStyle w:val="Body"/>
      </w:pPr>
      <w:r>
        <w:rPr>
          <w:noProof/>
        </w:rPr>
        <w:drawing>
          <wp:inline distT="0" distB="0" distL="0" distR="0" wp14:anchorId="3E69C51B" wp14:editId="7ABB687C">
            <wp:extent cx="5943473" cy="4998207"/>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5943473" cy="4998207"/>
                    </a:xfrm>
                    <a:prstGeom prst="rect">
                      <a:avLst/>
                    </a:prstGeom>
                    <a:ln w="12700" cap="flat">
                      <a:noFill/>
                      <a:miter lim="400000"/>
                    </a:ln>
                    <a:effectLst/>
                  </pic:spPr>
                </pic:pic>
              </a:graphicData>
            </a:graphic>
          </wp:inline>
        </w:drawing>
      </w:r>
    </w:p>
    <w:p w14:paraId="52B32D86" w14:textId="77777777" w:rsidR="00A65B61" w:rsidRDefault="00000000">
      <w:pPr>
        <w:pStyle w:val="Body"/>
        <w:rPr>
          <w:sz w:val="24"/>
          <w:szCs w:val="24"/>
          <w:lang w:val="en-US"/>
        </w:rPr>
      </w:pPr>
      <w:r>
        <w:rPr>
          <w:sz w:val="24"/>
          <w:szCs w:val="24"/>
          <w:lang w:val="en-US"/>
        </w:rPr>
        <w:t>Can the same signatory be registered in multiple companies?</w:t>
      </w:r>
    </w:p>
    <w:p w14:paraId="02101334" w14:textId="04F0F164" w:rsidR="00283CDA" w:rsidRPr="00283CDA" w:rsidRDefault="00283CDA">
      <w:pPr>
        <w:pStyle w:val="Body"/>
        <w:rPr>
          <w:color w:val="4F81BD" w:themeColor="accent1"/>
          <w:sz w:val="24"/>
          <w:szCs w:val="24"/>
          <w:lang w:val="en-US"/>
        </w:rPr>
      </w:pPr>
      <w:r w:rsidRPr="00283CDA">
        <w:rPr>
          <w:color w:val="4F81BD" w:themeColor="accent1"/>
          <w:sz w:val="24"/>
          <w:szCs w:val="24"/>
          <w:lang w:val="en-US"/>
        </w:rPr>
        <w:t xml:space="preserve">Yes. They can act as a signatory </w:t>
      </w:r>
      <w:proofErr w:type="gramStart"/>
      <w:r w:rsidRPr="00283CDA">
        <w:rPr>
          <w:color w:val="4F81BD" w:themeColor="accent1"/>
          <w:sz w:val="24"/>
          <w:szCs w:val="24"/>
          <w:lang w:val="en-US"/>
        </w:rPr>
        <w:t>on</w:t>
      </w:r>
      <w:proofErr w:type="gramEnd"/>
      <w:r w:rsidRPr="00283CDA">
        <w:rPr>
          <w:color w:val="4F81BD" w:themeColor="accent1"/>
          <w:sz w:val="24"/>
          <w:szCs w:val="24"/>
          <w:lang w:val="en-US"/>
        </w:rPr>
        <w:t xml:space="preserve"> several companies. For example, I am the owner of Keiretsu Forum Canada and </w:t>
      </w:r>
      <w:proofErr w:type="spellStart"/>
      <w:r w:rsidRPr="00283CDA">
        <w:rPr>
          <w:color w:val="4F81BD" w:themeColor="accent1"/>
          <w:sz w:val="24"/>
          <w:szCs w:val="24"/>
          <w:lang w:val="en-US"/>
        </w:rPr>
        <w:t>Trendwel</w:t>
      </w:r>
      <w:proofErr w:type="spellEnd"/>
      <w:r w:rsidRPr="00283CDA">
        <w:rPr>
          <w:color w:val="4F81BD" w:themeColor="accent1"/>
          <w:sz w:val="24"/>
          <w:szCs w:val="24"/>
          <w:lang w:val="en-US"/>
        </w:rPr>
        <w:t xml:space="preserve"> Ventures and BluePrint Catalyst. I can start/edit/end rounds in each of the companies. </w:t>
      </w:r>
      <w:proofErr w:type="gramStart"/>
      <w:r w:rsidRPr="00283CDA">
        <w:rPr>
          <w:color w:val="4F81BD" w:themeColor="accent1"/>
          <w:sz w:val="24"/>
          <w:szCs w:val="24"/>
          <w:lang w:val="en-US"/>
        </w:rPr>
        <w:t>Therefore</w:t>
      </w:r>
      <w:proofErr w:type="gramEnd"/>
      <w:r w:rsidRPr="00283CDA">
        <w:rPr>
          <w:color w:val="4F81BD" w:themeColor="accent1"/>
          <w:sz w:val="24"/>
          <w:szCs w:val="24"/>
          <w:lang w:val="en-US"/>
        </w:rPr>
        <w:t xml:space="preserve"> I can act as a signatory on each of the companies independently. </w:t>
      </w:r>
    </w:p>
    <w:p w14:paraId="3EE6541B" w14:textId="77777777" w:rsidR="00A65B61" w:rsidRDefault="00000000">
      <w:pPr>
        <w:pStyle w:val="Body"/>
        <w:rPr>
          <w:sz w:val="24"/>
          <w:szCs w:val="24"/>
        </w:rPr>
      </w:pPr>
      <w:r>
        <w:rPr>
          <w:sz w:val="24"/>
          <w:szCs w:val="24"/>
          <w:lang w:val="en-US"/>
        </w:rPr>
        <w:t>When a company is registered, a signatory is added, and an invitation link is sent to the signatory so they can join the company. Once the signatory creates their account, they can log in and view the company.</w:t>
      </w:r>
    </w:p>
    <w:p w14:paraId="25357543" w14:textId="77777777" w:rsidR="00A65B61" w:rsidRDefault="00A65B61">
      <w:pPr>
        <w:pStyle w:val="Body"/>
      </w:pPr>
    </w:p>
    <w:p w14:paraId="0EE062EF" w14:textId="77777777" w:rsidR="00A65B61" w:rsidRDefault="00000000">
      <w:pPr>
        <w:pStyle w:val="Default"/>
        <w:suppressAutoHyphens/>
        <w:spacing w:before="0" w:line="240" w:lineRule="auto"/>
        <w:rPr>
          <w:rFonts w:ascii="Times Roman" w:hAnsi="Times Roman"/>
          <w:b/>
          <w:bCs/>
        </w:rPr>
      </w:pPr>
      <w:r>
        <w:rPr>
          <w:rFonts w:ascii="Times Roman" w:hAnsi="Times Roman"/>
        </w:rPr>
        <w:t>It</w:t>
      </w:r>
      <w:r>
        <w:rPr>
          <w:rFonts w:ascii="Times Roman" w:hAnsi="Times Roman"/>
          <w:rtl/>
        </w:rPr>
        <w:t>’</w:t>
      </w:r>
      <w:proofErr w:type="spellStart"/>
      <w:r>
        <w:rPr>
          <w:rFonts w:ascii="Times Roman" w:hAnsi="Times Roman"/>
        </w:rPr>
        <w:t>s</w:t>
      </w:r>
      <w:proofErr w:type="spellEnd"/>
      <w:r>
        <w:rPr>
          <w:rFonts w:ascii="Times Roman" w:hAnsi="Times Roman"/>
        </w:rPr>
        <w:t xml:space="preserve"> important to make this flow clear, because earlier from your side the rule was that a signatory would only be able to view and work on the data of a single company. But in the case of </w:t>
      </w:r>
      <w:r>
        <w:rPr>
          <w:rFonts w:ascii="Times Roman" w:hAnsi="Times Roman"/>
          <w:rtl/>
          <w:lang w:val="ar-SA"/>
        </w:rPr>
        <w:t>“</w:t>
      </w:r>
      <w:r>
        <w:rPr>
          <w:rFonts w:ascii="Times Roman" w:hAnsi="Times Roman"/>
          <w:b/>
          <w:bCs/>
        </w:rPr>
        <w:t xml:space="preserve">Yes or </w:t>
      </w:r>
      <w:r>
        <w:rPr>
          <w:rFonts w:ascii="Times Roman" w:hAnsi="Times Roman"/>
          <w:b/>
          <w:bCs/>
        </w:rPr>
        <w:lastRenderedPageBreak/>
        <w:t>No,</w:t>
      </w:r>
      <w:r>
        <w:rPr>
          <w:rFonts w:ascii="Times Roman" w:hAnsi="Times Roman"/>
        </w:rPr>
        <w:t>” when the owner</w:t>
      </w:r>
      <w:r>
        <w:rPr>
          <w:rFonts w:ascii="Times Roman" w:hAnsi="Times Roman"/>
          <w:rtl/>
        </w:rPr>
        <w:t>’</w:t>
      </w:r>
      <w:r>
        <w:rPr>
          <w:rFonts w:ascii="Times Roman" w:hAnsi="Times Roman"/>
        </w:rPr>
        <w:t xml:space="preserve">s data is being </w:t>
      </w:r>
      <w:proofErr w:type="gramStart"/>
      <w:r>
        <w:rPr>
          <w:rFonts w:ascii="Times Roman" w:hAnsi="Times Roman"/>
        </w:rPr>
        <w:t>auto-filled</w:t>
      </w:r>
      <w:proofErr w:type="gramEnd"/>
      <w:r>
        <w:rPr>
          <w:rFonts w:ascii="Times Roman" w:hAnsi="Times Roman"/>
        </w:rPr>
        <w:t xml:space="preserve"> and they are already joined, </w:t>
      </w:r>
      <w:r>
        <w:rPr>
          <w:rFonts w:ascii="Times Roman" w:hAnsi="Times Roman"/>
          <w:b/>
          <w:bCs/>
        </w:rPr>
        <w:t>then the question arises: how will the signatory log in and view the owner</w:t>
      </w:r>
      <w:r>
        <w:rPr>
          <w:rFonts w:ascii="Times Roman" w:hAnsi="Times Roman"/>
          <w:b/>
          <w:bCs/>
          <w:rtl/>
        </w:rPr>
        <w:t>’</w:t>
      </w:r>
      <w:r>
        <w:rPr>
          <w:rFonts w:ascii="Times Roman" w:hAnsi="Times Roman"/>
          <w:b/>
          <w:bCs/>
        </w:rPr>
        <w:t>s company?</w:t>
      </w:r>
    </w:p>
    <w:p w14:paraId="21A20445" w14:textId="77777777" w:rsidR="00283CDA" w:rsidRDefault="00283CDA">
      <w:pPr>
        <w:pStyle w:val="Default"/>
        <w:suppressAutoHyphens/>
        <w:spacing w:before="0" w:line="240" w:lineRule="auto"/>
        <w:rPr>
          <w:rFonts w:ascii="Times Roman" w:hAnsi="Times Roman"/>
          <w:b/>
          <w:bCs/>
        </w:rPr>
      </w:pPr>
    </w:p>
    <w:p w14:paraId="61A38F75" w14:textId="6A46A584" w:rsidR="00283CDA" w:rsidRPr="00283CDA" w:rsidRDefault="00283CDA">
      <w:pPr>
        <w:pStyle w:val="Default"/>
        <w:suppressAutoHyphens/>
        <w:spacing w:before="0" w:line="240" w:lineRule="auto"/>
        <w:rPr>
          <w:rFonts w:ascii="Times Roman" w:hAnsi="Times Roman"/>
          <w:b/>
          <w:bCs/>
          <w:color w:val="4F81BD" w:themeColor="accent1"/>
        </w:rPr>
      </w:pPr>
      <w:r w:rsidRPr="00283CDA">
        <w:rPr>
          <w:rFonts w:ascii="Times Roman" w:hAnsi="Times Roman"/>
          <w:b/>
          <w:bCs/>
          <w:color w:val="4F81BD" w:themeColor="accent1"/>
        </w:rPr>
        <w:t xml:space="preserve">When the signatory logs in, they will have the chance to access each of the companies that they are signatories in. They can switch accounts. This is somewhat </w:t>
      </w:r>
      <w:proofErr w:type="gramStart"/>
      <w:r w:rsidRPr="00283CDA">
        <w:rPr>
          <w:rFonts w:ascii="Times Roman" w:hAnsi="Times Roman"/>
          <w:b/>
          <w:bCs/>
          <w:color w:val="4F81BD" w:themeColor="accent1"/>
        </w:rPr>
        <w:t>similar to</w:t>
      </w:r>
      <w:proofErr w:type="gramEnd"/>
      <w:r w:rsidRPr="00283CDA">
        <w:rPr>
          <w:rFonts w:ascii="Times Roman" w:hAnsi="Times Roman"/>
          <w:b/>
          <w:bCs/>
          <w:color w:val="4F81BD" w:themeColor="accent1"/>
        </w:rPr>
        <w:t xml:space="preserve"> investors: For example, I’m an investor (NOT AN OWNER) in Keiretsu, Trendwell and BluePrint. When I log in, I can access each of the companies independently. </w:t>
      </w:r>
    </w:p>
    <w:p w14:paraId="0478ED4C" w14:textId="77777777" w:rsidR="00283CDA" w:rsidRDefault="00283CDA">
      <w:pPr>
        <w:pStyle w:val="Default"/>
        <w:suppressAutoHyphens/>
        <w:spacing w:before="0" w:line="240" w:lineRule="auto"/>
        <w:rPr>
          <w:rFonts w:ascii="Times Roman" w:hAnsi="Times Roman"/>
          <w:b/>
          <w:bCs/>
        </w:rPr>
      </w:pPr>
    </w:p>
    <w:p w14:paraId="24CEFA87" w14:textId="36C25C77" w:rsidR="00283CDA" w:rsidRDefault="00283CDA">
      <w:pPr>
        <w:pStyle w:val="Default"/>
        <w:suppressAutoHyphens/>
        <w:spacing w:before="0" w:line="240" w:lineRule="auto"/>
        <w:rPr>
          <w:rFonts w:ascii="Times Roman" w:eastAsia="Times Roman" w:hAnsi="Times Roman" w:cs="Times Roman"/>
          <w:b/>
          <w:bCs/>
        </w:rPr>
      </w:pPr>
    </w:p>
    <w:p w14:paraId="51402B43" w14:textId="77777777" w:rsidR="00A65B61" w:rsidRDefault="00A65B61">
      <w:pPr>
        <w:pStyle w:val="Body"/>
      </w:pPr>
    </w:p>
    <w:p w14:paraId="25C88B46" w14:textId="77777777" w:rsidR="00A65B61" w:rsidRDefault="00000000">
      <w:pPr>
        <w:pStyle w:val="Body"/>
      </w:pPr>
      <w:r>
        <w:rPr>
          <w:lang w:val="en-US"/>
        </w:rPr>
        <w:t>The owned user</w:t>
      </w:r>
      <w:r>
        <w:rPr>
          <w:rtl/>
        </w:rPr>
        <w:t>’</w:t>
      </w:r>
      <w:r>
        <w:rPr>
          <w:lang w:val="en-US"/>
        </w:rPr>
        <w:t>s company will be accessed from the dashboard page.,</w:t>
      </w:r>
    </w:p>
    <w:p w14:paraId="1993BF6B" w14:textId="77777777" w:rsidR="00A65B61" w:rsidRDefault="00000000">
      <w:pPr>
        <w:pStyle w:val="Body"/>
      </w:pPr>
      <w:r>
        <w:rPr>
          <w:lang w:val="en-US"/>
        </w:rPr>
        <w:t>When the owned user clicks the access button, they will be redirected to that company</w:t>
      </w:r>
      <w:r>
        <w:rPr>
          <w:rtl/>
        </w:rPr>
        <w:t>’</w:t>
      </w:r>
      <w:r>
        <w:rPr>
          <w:lang w:val="en-US"/>
        </w:rPr>
        <w:t>s dashboard page.</w:t>
      </w:r>
    </w:p>
    <w:p w14:paraId="54232E2F" w14:textId="77777777" w:rsidR="00A65B61" w:rsidRDefault="00000000">
      <w:pPr>
        <w:pStyle w:val="Body"/>
      </w:pPr>
      <w:r>
        <w:rPr>
          <w:noProof/>
        </w:rPr>
        <w:drawing>
          <wp:inline distT="0" distB="0" distL="0" distR="0" wp14:anchorId="02A4486C" wp14:editId="737B15F2">
            <wp:extent cx="5943473" cy="1476864"/>
            <wp:effectExtent l="0" t="0" r="0" b="0"/>
            <wp:docPr id="1073741826" name="officeArt object" descr="Picture 4"/>
            <wp:cNvGraphicFramePr/>
            <a:graphic xmlns:a="http://schemas.openxmlformats.org/drawingml/2006/main">
              <a:graphicData uri="http://schemas.openxmlformats.org/drawingml/2006/picture">
                <pic:pic xmlns:pic="http://schemas.openxmlformats.org/drawingml/2006/picture">
                  <pic:nvPicPr>
                    <pic:cNvPr id="1073741826" name="Picture 4" descr="Picture 4"/>
                    <pic:cNvPicPr>
                      <a:picLocks noChangeAspect="1"/>
                    </pic:cNvPicPr>
                  </pic:nvPicPr>
                  <pic:blipFill>
                    <a:blip r:embed="rId7"/>
                    <a:stretch>
                      <a:fillRect/>
                    </a:stretch>
                  </pic:blipFill>
                  <pic:spPr>
                    <a:xfrm>
                      <a:off x="0" y="0"/>
                      <a:ext cx="5943473" cy="1476864"/>
                    </a:xfrm>
                    <a:prstGeom prst="rect">
                      <a:avLst/>
                    </a:prstGeom>
                    <a:ln w="12700" cap="flat">
                      <a:noFill/>
                      <a:miter lim="400000"/>
                    </a:ln>
                    <a:effectLst/>
                  </pic:spPr>
                </pic:pic>
              </a:graphicData>
            </a:graphic>
          </wp:inline>
        </w:drawing>
      </w:r>
    </w:p>
    <w:p w14:paraId="64AF9165" w14:textId="77777777" w:rsidR="00A65B61" w:rsidRDefault="00A65B61">
      <w:pPr>
        <w:pStyle w:val="Body"/>
      </w:pPr>
    </w:p>
    <w:p w14:paraId="54361DD3" w14:textId="698ED37B" w:rsidR="00283CDA" w:rsidRPr="00283CDA" w:rsidRDefault="00283CDA">
      <w:pPr>
        <w:pStyle w:val="Body"/>
        <w:rPr>
          <w:color w:val="4F81BD" w:themeColor="accent1"/>
        </w:rPr>
      </w:pPr>
      <w:r w:rsidRPr="00283CDA">
        <w:rPr>
          <w:color w:val="4F81BD" w:themeColor="accent1"/>
        </w:rPr>
        <w:t>CORRECT.</w:t>
      </w:r>
    </w:p>
    <w:sectPr w:rsidR="00283CDA" w:rsidRPr="00283CDA">
      <w:headerReference w:type="default" r:id="rId8"/>
      <w:foot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F4339" w14:textId="77777777" w:rsidR="00C22BEB" w:rsidRDefault="00C22BEB">
      <w:r>
        <w:separator/>
      </w:r>
    </w:p>
  </w:endnote>
  <w:endnote w:type="continuationSeparator" w:id="0">
    <w:p w14:paraId="1B85BFAC" w14:textId="77777777" w:rsidR="00C22BEB" w:rsidRDefault="00C22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7201" w14:textId="77777777" w:rsidR="00A65B61" w:rsidRDefault="00A65B6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6B16A" w14:textId="77777777" w:rsidR="00C22BEB" w:rsidRDefault="00C22BEB">
      <w:r>
        <w:separator/>
      </w:r>
    </w:p>
  </w:footnote>
  <w:footnote w:type="continuationSeparator" w:id="0">
    <w:p w14:paraId="526933E0" w14:textId="77777777" w:rsidR="00C22BEB" w:rsidRDefault="00C22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EF58" w14:textId="77777777" w:rsidR="00A65B61" w:rsidRDefault="00A65B61">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B61"/>
    <w:rsid w:val="00283CDA"/>
    <w:rsid w:val="00A65B61"/>
    <w:rsid w:val="00C22BEB"/>
    <w:rsid w:val="00F75B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5ED097"/>
  <w15:docId w15:val="{D516D1C4-501F-4B9E-9727-D69D579C1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256</Words>
  <Characters>1178</Characters>
  <Application>Microsoft Office Word</Application>
  <DocSecurity>0</DocSecurity>
  <Lines>27</Lines>
  <Paragraphs>10</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Ozan Isinak</cp:lastModifiedBy>
  <cp:revision>2</cp:revision>
  <dcterms:created xsi:type="dcterms:W3CDTF">2025-09-23T16:12:00Z</dcterms:created>
  <dcterms:modified xsi:type="dcterms:W3CDTF">2025-09-23T16:17:00Z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90137cb1-34ec-4d52-8f95-7f3384e6de9f</vt:lpwstr>
  </property>
</Properties>
</file>