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Neuo</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4</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September 24th,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Avinay</w:t>
      </w:r>
      <w:bookmarkEnd w:id="6"/>
      <w:r w:rsidR="00B438D1">
        <w:rPr>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Avinay</w:t>
      </w:r>
      <w:r w:rsidR="0031444E" w:rsidRPr="0031444E">
        <w:rPr>
          <w:highlight w:val="yellow"/>
          <w:u w:val="single"/>
        </w:rPr>
        <w:t xml:space="preserve"> </w:t>
      </w:r>
      <w:bookmarkEnd w:id="7"/>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Avinay</w:t>
      </w:r>
      <w:r w:rsidR="00881526" w:rsidRPr="0031444E">
        <w:rPr>
          <w:highlight w:val="yellow"/>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Neuo</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AvinayKumar</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+14334334343</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Albania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sss, Gjirokastër County, 435345, Albania</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Investor Report Access and Sharing Process</w:t>
      </w:r>
      <w:r>
        <w:br/>
      </w:r>
      <w:r>
        <w:rPr>
          <w:rFonts w:asciiTheme="minorHAnsi" w:eastAsiaTheme="minorHAnsi" w:hAnsiTheme="minorHAnsi" w:cstheme="minorBidi"/>
          <w:kern w:val="2"/>
          <w:sz w:val="22"/>
          <w:szCs w:val="22"/>
          <w:lang w:eastAsia="en-US"/>
        </w:rPr>
        <w:t xml:space="preserve">Companies must lock reports before sharing them with investors. Each report is shared individually, ensuring privacy. Investors receive a unique email link to access the report after they register and complete their profile on the CRM system. Multiple companies can invite the same investor, but they cannot view the investor's other investments.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Interaction and Document Signing</w:t>
      </w:r>
      <w:r>
        <w:br/>
      </w:r>
      <w:r>
        <w:rPr>
          <w:rFonts w:asciiTheme="minorHAnsi" w:eastAsiaTheme="minorHAnsi" w:hAnsiTheme="minorHAnsi" w:cstheme="minorBidi"/>
          <w:kern w:val="2"/>
          <w:sz w:val="22"/>
          <w:szCs w:val="22"/>
          <w:lang w:eastAsia="en-US"/>
        </w:rPr>
        <w:t xml:space="preserve">After viewing documents like Term Sheets and Subscription Documents from the Data Room, investors indicate investment amounts and sign legally. The system reserves shares for the investors, who must then transfer funds for the shares to be formally allocated, updating the cap table.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Funding Round Management</w:t>
      </w:r>
      <w:r>
        <w:br/>
      </w:r>
      <w:r>
        <w:rPr>
          <w:rFonts w:asciiTheme="minorHAnsi" w:eastAsiaTheme="minorHAnsi" w:hAnsiTheme="minorHAnsi" w:cstheme="minorBidi"/>
          <w:kern w:val="2"/>
          <w:sz w:val="22"/>
          <w:szCs w:val="22"/>
          <w:lang w:eastAsia="en-US"/>
        </w:rPr>
        <w:t xml:space="preserve">Companies share funding rounds with added investors, allowing them to view and sign necessary documents. A funding round isn't closed solely based on investor signatures; it's officially closed or extended at the company's discretion. Companies can issue amendments or cancel the round, but editing is restricted once investors have viewed it.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Handling Investor Information</w:t>
      </w:r>
      <w:r>
        <w:br/>
      </w:r>
      <w:r>
        <w:rPr>
          <w:rFonts w:asciiTheme="minorHAnsi" w:eastAsiaTheme="minorHAnsi" w:hAnsiTheme="minorHAnsi" w:cstheme="minorBidi"/>
          <w:kern w:val="2"/>
          <w:sz w:val="22"/>
          <w:szCs w:val="22"/>
          <w:lang w:eastAsia="en-US"/>
        </w:rPr>
        <w:t xml:space="preserve">Investors themselves enter necessary data such as Tax ID for KYC/AML compliance when available. Companies do not handle this sensitive data directly but can prompt investors to provide it during the registration or document signing process.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Investor Report Access and Sharing Process</w:t>
      </w:r>
      <w:r>
        <w:br/>
      </w:r>
      <w:r>
        <w:t xml:space="preserve">Companies must lock reports before sharing them with investors. Each report is shared individually, ensuring privacy. Investors receive a unique email link to access the report after they register and complete their profile on the CRM system. Multiple companies can invite the same investor, but they cannot view the investor's other investments.</w:t>
      </w:r>
      <w:r>
        <w:br/>
      </w:r>
      <w:r>
        <w:t/>
      </w:r>
      <w:r>
        <w:br/>
      </w:r>
      <w:r>
        <w:t xml:space="preserve">Investor Interaction and Document Signing</w:t>
      </w:r>
      <w:r>
        <w:br/>
      </w:r>
      <w:r>
        <w:t xml:space="preserve">After viewing documents like Term Sheets and Subscription Documents from the Data Room, investors indicate investment amounts and sign legally. The system reserves shares for the investors, who must then transfer funds for the shares to be formally allocated, updating the cap table.</w:t>
      </w:r>
      <w:r>
        <w:br/>
      </w:r>
      <w:r>
        <w:t/>
      </w:r>
      <w:r>
        <w:br/>
      </w:r>
      <w:r>
        <w:t xml:space="preserve">Funding Round Management</w:t>
      </w:r>
      <w:r>
        <w:br/>
      </w:r>
      <w:r>
        <w:t xml:space="preserve">Companies share funding rounds with added investors, allo</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p w:rsidR="00044F99" w:rsidRDefault="00044F99" w:rsidP="00044F99">
      <w:pPr>
        <w:pStyle w:val="Heading2"/>
        <w:rPr>
          <w:rStyle w:val="Strong"/>
        </w:rPr>
      </w:pPr>
      <w:bookmarkStart w:id="40" w:name="_Toc198460811"/>
      <w:r w:rsidRPr="00044F99">
        <w:rPr>
          <w:rStyle w:val="Strong"/>
        </w:rPr>
        <w:t>USA – NYSE</w:t>
      </w:r>
      <w:bookmarkEnd w:id="40"/>
    </w:p>
    <w:p w:rsidR="00044F99" w:rsidRDefault="00044F99" w:rsidP="00044F99">
      <w:pPr>
        <w:pStyle w:val="Heading2"/>
        <w:rPr>
          <w:rStyle w:val="Strong"/>
        </w:rPr>
      </w:pPr>
      <w:bookmarkStart w:id="41" w:name="_Toc198460812"/>
      <w:r w:rsidRPr="00044F99">
        <w:rPr>
          <w:rStyle w:val="Strong"/>
        </w:rPr>
        <w:t>ENGLAND – London Stock Exchange (FTSE)</w:t>
      </w:r>
      <w:bookmarkEnd w:id="41"/>
    </w:p>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Neuo</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