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Neuo</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7</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September 24th,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Testttg</w:t>
      </w:r>
      <w:bookmarkEnd w:id="6"/>
      <w:r w:rsidR="00B438D1">
        <w:rPr>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Testttg</w:t>
      </w:r>
      <w:r w:rsidR="0031444E" w:rsidRPr="0031444E">
        <w:rPr>
          <w:highlight w:val="yellow"/>
          <w:u w:val="single"/>
        </w:rPr>
        <w:t xml:space="preserve"> </w:t>
      </w:r>
      <w:bookmarkEnd w:id="7"/>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Testttg</w:t>
      </w:r>
      <w:r w:rsidR="00881526" w:rsidRPr="0031444E">
        <w:rPr>
          <w:highlight w:val="yellow"/>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Neuo</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Testttgtest</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+14334334343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Albania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sss, Gjirokastër County, 435345, Albania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and Report Management</w:t>
      </w:r>
      <w:r>
        <w:br/>
      </w:r>
      <w:r>
        <w:rPr>
          <w:rFonts w:asciiTheme="minorHAnsi" w:eastAsiaTheme="minorHAnsi" w:hAnsiTheme="minorHAnsi" w:cstheme="minorBidi"/>
          <w:kern w:val="2"/>
          <w:sz w:val="22"/>
          <w:szCs w:val="22"/>
          <w:lang w:eastAsia="en-US"/>
        </w:rPr>
        <w:t xml:space="preserve">Each report must be individually shared by the company with their investors. Investors receive a unique link via email to register and access the report. Companies use an Investor Information CRM to manage investor details, sending out standardized invitation letters for investors to complete their profiles.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Investment Process</w:t>
      </w:r>
      <w:r>
        <w:br/>
      </w:r>
      <w:r>
        <w:rPr>
          <w:rFonts w:asciiTheme="minorHAnsi" w:eastAsiaTheme="minorHAnsi" w:hAnsiTheme="minorHAnsi" w:cstheme="minorBidi"/>
          <w:kern w:val="2"/>
          <w:sz w:val="22"/>
          <w:szCs w:val="22"/>
          <w:lang w:eastAsia="en-US"/>
        </w:rPr>
        <w:t xml:space="preserve">Investors review and sign documents, legally binding themselves to the investment terms. After selecting the amount to invest and thereby the shares they seek to reserve, the investor sends the money. Only after the transaction is the company required to formally allocate shares,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Document Accessibility and Sharing</w:t>
      </w:r>
      <w:r>
        <w:br/>
      </w:r>
      <w:r>
        <w:rPr>
          <w:rFonts w:asciiTheme="minorHAnsi" w:eastAsiaTheme="minorHAnsi" w:hAnsiTheme="minorHAnsi" w:cstheme="minorBidi"/>
          <w:kern w:val="2"/>
          <w:sz w:val="22"/>
          <w:szCs w:val="22"/>
          <w:lang w:eastAsia="en-US"/>
        </w:rPr>
        <w:t xml:space="preserve">Locked reports are shared with investors through unique links sent to their emails. Even unregistered investors can access reports once they register. Multiple companies can add the same investor, but each must share access to documents privately and separately.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Multiple Companies and a Single Investor</w:t>
      </w:r>
      <w:r>
        <w:br/>
      </w:r>
      <w:r>
        <w:rPr>
          <w:rFonts w:asciiTheme="minorHAnsi" w:eastAsiaTheme="minorHAnsi" w:hAnsiTheme="minorHAnsi" w:cstheme="minorBidi"/>
          <w:kern w:val="2"/>
          <w:sz w:val="22"/>
          <w:szCs w:val="22"/>
          <w:lang w:eastAsia="en-US"/>
        </w:rPr>
        <w:t xml:space="preserve">An investor can be associated with multiple companies. Even so, each company must share every report independently with the investor to ensure privacy and compliance. Companies do not have access to information about other investments or associations the investor might have.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Funding Rounds</w:t>
      </w:r>
      <w:r>
        <w:br/>
      </w:r>
      <w:r>
        <w:rPr>
          <w:rFonts w:asciiTheme="minorHAnsi" w:eastAsiaTheme="minorHAnsi" w:hAnsiTheme="minorHAnsi" w:cstheme="minorBidi"/>
          <w:kern w:val="2"/>
          <w:sz w:val="22"/>
          <w:szCs w:val="22"/>
          <w:lang w:eastAsia="en-US"/>
        </w:rPr>
        <w:t xml:space="preserve">A funding round is not dependent on all invited investors providing authorized signatures; the closure of a round is at the company's discretion. A round can be amended or canceled, with amendments changing the dynamics of the round. Editing is restricted once invitations are sent unless completely canceled before any transaction.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and Report Management</w:t>
      </w:r>
      <w:r>
        <w:br/>
      </w:r>
      <w:r>
        <w:t xml:space="preserve">Each report must be individually shared by the company with their investors. Investors receive a unique link via email to register and access the report. Companies use an Investor Information CRM to manage investor details, sending out standardized invitation letters for investors to complete their profiles.</w:t>
      </w:r>
      <w:r>
        <w:br/>
      </w:r>
      <w:r>
        <w:t/>
      </w:r>
      <w:r>
        <w:br/>
      </w:r>
      <w:r>
        <w:t xml:space="preserve">Investment Process</w:t>
      </w:r>
      <w:r>
        <w:br/>
      </w:r>
      <w:r>
        <w:t xml:space="preserve">Investors review and sign documents, legally binding themselves to the investment terms. After selecting the amount to invest and thereby the shares they seek to reserve, the investor sends the money. Only after the transaction is the company required to formally allocate shares, updating the cap table.</w:t>
      </w:r>
      <w:r>
        <w:br/>
      </w:r>
      <w:r>
        <w:t/>
      </w:r>
      <w:r>
        <w:br/>
      </w:r>
      <w:r>
        <w:t xml:space="preserve">Document Accessibility and Sharing</w:t>
      </w:r>
      <w:r>
        <w:br/>
      </w:r>
      <w:r>
        <w:t xml:space="preserve">Locked reports are shared with investors through unique links sent to their emails. Even unregiste</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Neuo</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