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Neuo</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8</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September 24th,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Testttg</w:t>
      </w:r>
      <w:bookmarkEnd w:id="6"/>
      <w:r w:rsidR="00B438D1">
        <w:rPr>
          <w:u w:val="single"/>
        </w:rPr>
        <w:t xml:space="preserve"> </w:t>
      </w:r>
      <w:r w:rsidR="00881526">
        <w:rPr>
          <w:u w:val="single"/>
        </w:rPr>
        <w:t xml:space="preserve">test</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Testttg</w:t>
      </w:r>
      <w:r w:rsidR="0031444E" w:rsidRPr="0031444E">
        <w:rPr>
          <w:highlight w:val="yellow"/>
          <w:u w:val="single"/>
        </w:rPr>
        <w:t xml:space="preserve"> </w:t>
      </w:r>
      <w:bookmarkEnd w:id="7"/>
      <w:r w:rsidR="00881526">
        <w:rPr>
          <w:u w:val="single"/>
        </w:rPr>
        <w:t xml:space="preserve">test</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Testttg</w:t>
      </w:r>
      <w:r w:rsidR="00881526" w:rsidRPr="0031444E">
        <w:rPr>
          <w:highlight w:val="yellow"/>
          <w:u w:val="single"/>
        </w:rPr>
        <w:t xml:space="preserve"> </w:t>
      </w:r>
      <w:r w:rsidR="00881526">
        <w:rPr>
          <w:u w:val="single"/>
        </w:rPr>
        <w:t xml:space="preserve">test</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Neuo</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Testttgtest</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+14334334343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Albania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sss, Gjirokastër County, 435345, Albania</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Investor Report Sharing Process</w:t>
      </w:r>
      <w:r>
        <w:br/>
      </w:r>
      <w:r>
        <w:rPr>
          <w:rFonts w:asciiTheme="minorHAnsi" w:eastAsiaTheme="minorHAnsi" w:hAnsiTheme="minorHAnsi" w:cstheme="minorBidi"/>
          <w:kern w:val="2"/>
          <w:sz w:val="22"/>
          <w:szCs w:val="22"/>
          <w:lang w:eastAsia="en-US"/>
        </w:rPr>
        <w:t xml:space="preserve">Companies must individually share each report with investors, ensuring privacy. Reports are accessible through a unique link sent via email after the investor is invited to register and complete their profile on the system. Multiple companies can add the same investor without seeing each other’s information.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Profile and Document Access</w:t>
      </w:r>
      <w:r>
        <w:br/>
      </w:r>
      <w:r>
        <w:rPr>
          <w:rFonts w:asciiTheme="minorHAnsi" w:eastAsiaTheme="minorHAnsi" w:hAnsiTheme="minorHAnsi" w:cstheme="minorBidi"/>
          <w:kern w:val="2"/>
          <w:sz w:val="22"/>
          <w:szCs w:val="22"/>
          <w:lang w:eastAsia="en-US"/>
        </w:rPr>
        <w:t xml:space="preserve">Investors create profiles using their email and can access documents like Term Sheets and Subscription Documents. Once they review these documents and signify investment intent by signing, the system reserves shares, awaiting financial transfer to formalize share allocation. This process updates the cap table.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Handling Multiple Companies and One Investor</w:t>
      </w:r>
      <w:r>
        <w:br/>
      </w:r>
      <w:r>
        <w:rPr>
          <w:rFonts w:asciiTheme="minorHAnsi" w:eastAsiaTheme="minorHAnsi" w:hAnsiTheme="minorHAnsi" w:cstheme="minorBidi"/>
          <w:kern w:val="2"/>
          <w:sz w:val="22"/>
          <w:szCs w:val="22"/>
          <w:lang w:eastAsia="en-US"/>
        </w:rPr>
        <w:t xml:space="preserve">An investor can be associated with multiple companies. However, each company must share reports and documents with the investor separately. Investors' privacy is maintained as they cannot see other investors associated with the company.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Funding Rounds and Investor Authorization</w:t>
      </w:r>
      <w:r>
        <w:br/>
      </w:r>
      <w:r>
        <w:rPr>
          <w:rFonts w:asciiTheme="minorHAnsi" w:eastAsiaTheme="minorHAnsi" w:hAnsiTheme="minorHAnsi" w:cstheme="minorBidi"/>
          <w:kern w:val="2"/>
          <w:sz w:val="22"/>
          <w:szCs w:val="22"/>
          <w:lang w:eastAsia="en-US"/>
        </w:rPr>
        <w:t xml:space="preserve">When a company initiates a funding round, it must share details with its investors. Investors authenticate the transaction by signing the term sheet and subscription documents. The closure of the funding round relies on company discretion, not solely on investor signatures.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Amendments and Cancellations of Funding Rounds</w:t>
      </w:r>
      <w:r>
        <w:br/>
      </w:r>
      <w:r>
        <w:rPr>
          <w:rFonts w:asciiTheme="minorHAnsi" w:eastAsiaTheme="minorHAnsi" w:hAnsiTheme="minorHAnsi" w:cstheme="minorBidi"/>
          <w:kern w:val="2"/>
          <w:sz w:val="22"/>
          <w:szCs w:val="22"/>
          <w:lang w:eastAsia="en-US"/>
        </w:rPr>
        <w:t xml:space="preserve">While funding rounds cannot be edited after sharing with investors, companies can issue amendments or fully cancel a round, with potential legal implications. Rounds must be locked before being shared externally.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Privacy and Data Management</w:t>
      </w:r>
      <w:r>
        <w:br/>
      </w:r>
      <w:r>
        <w:rPr>
          <w:rFonts w:asciiTheme="minorHAnsi" w:eastAsiaTheme="minorHAnsi" w:hAnsiTheme="minorHAnsi" w:cstheme="minorBidi"/>
          <w:kern w:val="2"/>
          <w:sz w:val="22"/>
          <w:szCs w:val="22"/>
          <w:lang w:eastAsia="en-US"/>
        </w:rPr>
        <w:t xml:space="preserve">Investor privacy is a priority, with companies not able to view each other’s investor lists or their other investments. Investors input personal data such as Tax ID or KYC/AML into the system themselves.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Investor Report Sharing Process</w:t>
      </w:r>
      <w:r>
        <w:br/>
      </w:r>
      <w:r>
        <w:t xml:space="preserve">Companies must individually share each report with investors, ensuring privacy. Reports are accessible through a unique link sent via email after the investor is invited to register and complete their profile on the system. Multiple companies can add the same investor without seeing each other’s information.</w:t>
      </w:r>
      <w:r>
        <w:br/>
      </w:r>
      <w:r>
        <w:t/>
      </w:r>
      <w:r>
        <w:br/>
      </w:r>
      <w:r>
        <w:t xml:space="preserve">Investor Profile and Document Access</w:t>
      </w:r>
      <w:r>
        <w:br/>
      </w:r>
      <w:r>
        <w:t xml:space="preserve">Investors create profiles using their email and can access documents like Term Sheets and Subscription Documents. Once they review these documents and signify investment intent by signing, the system reserves shares, awaiting financial transfer to formalize share allocation. This process updates the cap table.</w:t>
      </w:r>
      <w:r>
        <w:br/>
      </w:r>
      <w:r>
        <w:t/>
      </w:r>
      <w:r>
        <w:br/>
      </w:r>
      <w:r>
        <w:t xml:space="preserve">Handling Multiple Companies and One Investor</w:t>
      </w:r>
      <w:r>
        <w:br/>
      </w:r>
      <w:r>
        <w:t xml:space="preserve">An investor can be associated with multiple companies. However</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p w:rsidR="00044F99" w:rsidRDefault="00044F99" w:rsidP="00044F99">
      <w:pPr>
        <w:pStyle w:val="Heading2"/>
        <w:rPr>
          <w:rStyle w:val="Strong"/>
        </w:rPr>
      </w:pPr>
      <w:bookmarkStart w:id="40" w:name="_Toc198460811"/>
      <w:r w:rsidRPr="00044F99">
        <w:rPr>
          <w:rStyle w:val="Strong"/>
        </w:rPr>
        <w:t>USA – NYSE</w:t>
      </w:r>
      <w:bookmarkEnd w:id="40"/>
    </w:p>
    <w:p w:rsidR="00044F99" w:rsidRDefault="00044F99" w:rsidP="00044F99">
      <w:pPr>
        <w:pStyle w:val="Heading2"/>
        <w:rPr>
          <w:rStyle w:val="Strong"/>
        </w:rPr>
      </w:pPr>
      <w:bookmarkStart w:id="41" w:name="_Toc198460812"/>
      <w:r w:rsidRPr="00044F99">
        <w:rPr>
          <w:rStyle w:val="Strong"/>
        </w:rPr>
        <w:t>ENGLAND – London Stock Exchange (FTSE)</w:t>
      </w:r>
      <w:bookmarkEnd w:id="41"/>
    </w:p>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Neuo</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