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2B44" w14:textId="77777777" w:rsidR="008A5B07" w:rsidRDefault="008A5B07">
      <w:r w:rsidRPr="008A5B07">
        <w:t>The objective of this policy is to explain the leave entitlement &amp; availing procedure.</w:t>
      </w:r>
    </w:p>
    <w:p w14:paraId="32A06FAF" w14:textId="77777777" w:rsidR="008A5B07" w:rsidRDefault="008A5B07">
      <w:r w:rsidRPr="008A5B07">
        <w:t xml:space="preserve"> The Company “Leave Calendar” would effect from 1st </w:t>
      </w:r>
      <w:r>
        <w:t>March</w:t>
      </w:r>
      <w:r w:rsidRPr="008A5B07">
        <w:t xml:space="preserve"> to </w:t>
      </w:r>
      <w:r>
        <w:t>28 February</w:t>
      </w:r>
      <w:r w:rsidRPr="008A5B07">
        <w:t xml:space="preserve"> </w:t>
      </w:r>
      <w:r>
        <w:t>next</w:t>
      </w:r>
      <w:r w:rsidRPr="008A5B07">
        <w:t xml:space="preserve"> Year. </w:t>
      </w:r>
    </w:p>
    <w:p w14:paraId="4797C75A" w14:textId="77777777" w:rsidR="008A5B07" w:rsidRDefault="008A5B07">
      <w:r w:rsidRPr="008A5B07">
        <w:t xml:space="preserve">All the associates who are on Payroll of the Company than policy will be applicable for those. </w:t>
      </w:r>
    </w:p>
    <w:p w14:paraId="474DF410" w14:textId="4FE9636A" w:rsidR="008A5B07" w:rsidRDefault="008A5B07">
      <w:r w:rsidRPr="008A5B07">
        <w:t>Note: A min. of 20 working days attendance is required in a month to avail all Sunday &amp; Holidays.</w:t>
      </w:r>
    </w:p>
    <w:p w14:paraId="1B308390" w14:textId="77777777" w:rsidR="008A5B07" w:rsidRDefault="008A5B07"/>
    <w:p w14:paraId="75B728E0" w14:textId="2984EC24" w:rsidR="008A5B07" w:rsidRDefault="008A5B07">
      <w:r w:rsidRPr="008A5B07">
        <w:t>Entailment of Casual Leaves in a calendar year is max. 1</w:t>
      </w:r>
      <w:r w:rsidR="00106393">
        <w:t>0</w:t>
      </w:r>
      <w:r w:rsidRPr="008A5B07">
        <w:t xml:space="preserve"> days. </w:t>
      </w:r>
      <w:r w:rsidRPr="008A5B07">
        <w:sym w:font="Symbol" w:char="F0B7"/>
      </w:r>
      <w:r w:rsidRPr="008A5B07">
        <w:t xml:space="preserve"> 3 CL will be credit in the starting of every quarter. </w:t>
      </w:r>
      <w:r w:rsidRPr="008A5B07">
        <w:sym w:font="Symbol" w:char="F0B7"/>
      </w:r>
      <w:r w:rsidRPr="008A5B07">
        <w:t xml:space="preserve"> Min of 0.5 CL can be appl</w:t>
      </w:r>
      <w:r w:rsidR="00106393">
        <w:t>ied</w:t>
      </w:r>
      <w:r w:rsidRPr="008A5B07">
        <w:t xml:space="preserve"> or avail</w:t>
      </w:r>
      <w:r w:rsidR="00106393">
        <w:t>ed</w:t>
      </w:r>
      <w:r w:rsidRPr="008A5B07">
        <w:t xml:space="preserve"> </w:t>
      </w:r>
      <w:r w:rsidRPr="008A5B07">
        <w:sym w:font="Symbol" w:char="F0B7"/>
      </w:r>
      <w:r w:rsidRPr="008A5B07">
        <w:t xml:space="preserve"> All the balance of CL will be lapse on </w:t>
      </w:r>
      <w:r w:rsidR="00106393">
        <w:t>28 February</w:t>
      </w:r>
      <w:r w:rsidRPr="008A5B07">
        <w:t xml:space="preserve"> every year, no carry forward will take place for next year</w:t>
      </w:r>
    </w:p>
    <w:sectPr w:rsidR="008A5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07"/>
    <w:rsid w:val="00106393"/>
    <w:rsid w:val="008A5B07"/>
    <w:rsid w:val="00E0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61C5"/>
  <w15:chartTrackingRefBased/>
  <w15:docId w15:val="{8C332431-0F69-4502-A413-7F850F5C4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Khatri</dc:creator>
  <cp:keywords/>
  <dc:description/>
  <cp:lastModifiedBy>Bharti Khatri</cp:lastModifiedBy>
  <cp:revision>2</cp:revision>
  <dcterms:created xsi:type="dcterms:W3CDTF">2026-03-16T08:42:00Z</dcterms:created>
  <dcterms:modified xsi:type="dcterms:W3CDTF">2026-03-16T08:47:00Z</dcterms:modified>
</cp:coreProperties>
</file>