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4"/>
          <w:szCs w:val="24"/>
        </w:rPr>
        <w:t xml:space="preserve"/>
      </w:r>
    </w:p>
    <w:p>
      <w:pPr>
        <w:pStyle w:val="Heading1"/>
      </w:pPr>
      <w:r>
        <w:t xml:space="preserve">Fast Gain-of-Function Plan</w:t>
      </w:r>
    </w:p>
    <w:p>
      <w:pPr>
        <w:spacing w:after="160"/>
      </w:pPr>
      <w:r>
        <w:rPr>
          <w:rFonts w:ascii="Arial" w:cs="Arial" w:eastAsia="Arial" w:hAnsi="Arial"/>
          <w:sz w:val="24"/>
          <w:szCs w:val="24"/>
        </w:rPr>
        <w:t xml:space="preserve">Execution roadmap for embodied perception — Mind Machine Learning</w:t>
      </w:r>
    </w:p>
    <w:p>
      <w:r>
        <w:br w:type="page"/>
      </w:r>
    </w:p>
    <w:p>
      <w:pPr>
        <w:pStyle w:val="Heading1"/>
      </w:pPr>
      <w:r>
        <w:t xml:space="preserve">1. Doctrine</w:t>
      </w:r>
    </w:p>
    <w:p>
      <w:pPr>
        <w:spacing w:after="160"/>
      </w:pPr>
      <w:r>
        <w:rPr>
          <w:rFonts w:ascii="Arial" w:cs="Arial" w:eastAsia="Arial" w:hAnsi="Arial"/>
          <w:sz w:val="24"/>
          <w:szCs w:val="24"/>
        </w:rPr>
        <w:t xml:space="preserve">This document specifies how the research program will be judged in practice. The goal is not theoretical completeness. It is fast, visible, recognizable demonstrations of embodied perception that no existing system produces.</w:t>
      </w:r>
    </w:p>
    <w:p>
      <w:pPr>
        <w:spacing w:after="160"/>
      </w:pPr>
      <w:r>
        <w:rPr>
          <w:rFonts w:ascii="Arial" w:cs="Arial" w:eastAsia="Arial" w:hAnsi="Arial"/>
          <w:b/>
          <w:bCs/>
          <w:sz w:val="24"/>
          <w:szCs w:val="24"/>
        </w:rPr>
        <w:t xml:space="preserve">Operating principles</w:t>
      </w:r>
    </w:p>
    <w:p>
      <w:pPr>
        <w:spacing w:after="160"/>
      </w:pPr>
      <w:r>
        <w:rPr>
          <w:rFonts w:ascii="Arial" w:cs="Arial" w:eastAsia="Arial" w:hAnsi="Arial"/>
          <w:sz w:val="24"/>
          <w:szCs w:val="24"/>
        </w:rPr>
        <w:t xml:space="preserve">Optimize for visible new discriminations, not maximal late-stage competence. Prefer borrowed structure (mocap, authored animation, motion generation) over heroic self-discovery when the objective is fast function. Use developmental progression as the public logic. Require every claim be paired with a cheap automated falsification test. Reserve long-horizon training only for hypotheses that survive short screening.</w:t>
      </w:r>
    </w:p>
    <w:p>
      <w:r>
        <w:br w:type="page"/>
      </w:r>
    </w:p>
    <w:p>
      <w:pPr>
        <w:pStyle w:val="Heading1"/>
      </w:pPr>
      <w:r>
        <w:t xml:space="preserve">2. Three headline demonstrations</w:t>
      </w:r>
    </w:p>
    <w:p>
      <w:pPr>
        <w:spacing w:after="160"/>
      </w:pPr>
      <w:r>
        <w:rPr>
          <w:rFonts w:ascii="Arial" w:cs="Arial" w:eastAsia="Arial" w:hAnsi="Arial"/>
          <w:sz w:val="24"/>
          <w:szCs w:val="24"/>
        </w:rPr>
        <w:t xml:space="preserve">These are the specific demonstrations that anchor the program. Each is legible to outsiders, developmental, and visually compelling.</w:t>
      </w:r>
    </w:p>
    <w:p>
      <w:pPr>
        <w:spacing w:after="160"/>
      </w:pPr>
      <w:r>
        <w:rPr>
          <w:rFonts w:ascii="Arial" w:cs="Arial" w:eastAsia="Arial" w:hAnsi="Arial"/>
          <w:b/>
          <w:bCs/>
          <w:sz w:val="24"/>
          <w:szCs w:val="24"/>
        </w:rPr>
        <w:t xml:space="preserve">Demo 1: Self-touch discovery (neonate)</w:t>
      </w:r>
    </w:p>
    <w:p>
      <w:pPr>
        <w:spacing w:after="160"/>
      </w:pPr>
      <w:r>
        <w:rPr>
          <w:rFonts w:ascii="Arial" w:cs="Arial" w:eastAsia="Arial" w:hAnsi="Arial"/>
          <w:sz w:val="24"/>
          <w:szCs w:val="24"/>
        </w:rPr>
        <w:t xml:space="preserve">The avatar moves a limb, contacts its own body, and improves prediction of the resulting tactile sensation across subsequent trials. PE for self-contact events drops measurably. The body schema coherence score rises. This looks like primitive body discovery. It requires no environment beyond the avatar itself and gravity.</w:t>
      </w:r>
    </w:p>
    <w:p>
      <w:pPr>
        <w:spacing w:after="160"/>
      </w:pPr>
      <w:r>
        <w:rPr>
          <w:rFonts w:ascii="Arial" w:cs="Arial" w:eastAsia="Arial" w:hAnsi="Arial"/>
          <w:b/>
          <w:bCs/>
          <w:sz w:val="24"/>
          <w:szCs w:val="24"/>
        </w:rPr>
        <w:t xml:space="preserve">Demo 2: One-trial hot-object avoidance (baby)</w:t>
      </w:r>
    </w:p>
    <w:p>
      <w:pPr>
        <w:spacing w:after="160"/>
      </w:pPr>
      <w:r>
        <w:rPr>
          <w:rFonts w:ascii="Arial" w:cs="Arial" w:eastAsia="Arial" w:hAnsi="Arial"/>
          <w:sz w:val="24"/>
          <w:szCs w:val="24"/>
        </w:rPr>
        <w:t xml:space="preserve">The avatar contacts a hot surface. Tactile pain fires. Withdrawal occurs. On the next encounter with the same or similar visual pattern, anticipatory avoidance fires before contact. This demonstrates one-trial cross-modal learning, pain-like modulation, and anticipatory behavior. It requires an environment with a thermal surface.</w:t>
      </w:r>
    </w:p>
    <w:p>
      <w:pPr>
        <w:spacing w:after="160"/>
      </w:pPr>
      <w:r>
        <w:rPr>
          <w:rFonts w:ascii="Arial" w:cs="Arial" w:eastAsia="Arial" w:hAnsi="Arial"/>
          <w:b/>
          <w:bCs/>
          <w:sz w:val="24"/>
          <w:szCs w:val="24"/>
        </w:rPr>
        <w:t xml:space="preserve">Demo 3: Tool / body-schema extension (toddler)</w:t>
      </w:r>
    </w:p>
    <w:p>
      <w:pPr>
        <w:spacing w:after="160"/>
      </w:pPr>
      <w:r>
        <w:rPr>
          <w:rFonts w:ascii="Arial" w:cs="Arial" w:eastAsia="Arial" w:hAnsi="Arial"/>
          <w:sz w:val="24"/>
          <w:szCs w:val="24"/>
        </w:rPr>
        <w:t xml:space="preserve">The avatar grasps an object. The body schema’s self-membership score for the object’s tactile dimensions rises (the object becomes self). When the object is externally removed, self-membership drops (self contracts). When a new object is grasped, self extends again. This demonstrates the dynamic self-boundary claim concretely. It requires an environment with graspable objects and a scripted removal event.</w:t>
      </w:r>
    </w:p>
    <w:p>
      <w:pPr>
        <w:spacing w:after="160"/>
      </w:pPr>
      <w:r>
        <w:rPr>
          <w:rFonts w:ascii="Arial" w:cs="Arial" w:eastAsia="Arial" w:hAnsi="Arial"/>
          <w:sz w:val="24"/>
          <w:szCs w:val="24"/>
        </w:rPr>
        <w:t xml:space="preserve">All three demos are ordered developmentally and each builds on function gained in the prior stage.</w:t>
      </w:r>
    </w:p>
    <w:p>
      <w:pPr>
        <w:spacing w:after="160"/>
      </w:pPr>
      <w:r>
        <w:rPr>
          <w:rFonts w:ascii="Arial" w:cs="Arial" w:eastAsia="Arial" w:hAnsi="Arial"/>
          <w:b/>
          <w:bCs/>
          <w:sz w:val="24"/>
          <w:szCs w:val="24"/>
        </w:rPr>
        <w:t xml:space="preserve">Demo production specification</w:t>
      </w:r>
    </w:p>
    <w:p>
      <w:pPr>
        <w:spacing w:after="160"/>
      </w:pPr>
      <w:r>
        <w:rPr>
          <w:rFonts w:ascii="Arial" w:cs="Arial" w:eastAsia="Arial" w:hAnsi="Arial"/>
          <w:sz w:val="24"/>
          <w:szCs w:val="24"/>
        </w:rPr>
        <w:t xml:space="preserve">Each demo clip is 30–60 seconds, captured at 1080p 30 FPS from UE5 viewport. Format: side-by-side view with avatar on left and real-time metric overlay on right. Metrics overlay shows: PE per modality (line chart, last 5 seconds), body schema coherence (single number), wellness components (bar chart), and motor confidence (single number). Each clip includes a 5-second baseline segment at the start showing the untrained or pre-event state. The behavioral contrast must be visible within the clip: before vs after for Demo 1 (early random motion vs later purposeful self-touch), first contact vs second encounter for Demo 2 (pain + withdrawal vs anticipatory avoidance), and grasped vs released for Demo 3 (coherence rises then drops). Camera: third-person follow with slow orbit. Separate narrated version for presentation.</w:t>
      </w:r>
    </w:p>
    <w:p>
      <w:pPr>
        <w:spacing w:after="160"/>
      </w:pPr>
      <w:r>
        <w:rPr>
          <w:rFonts w:ascii="Arial" w:cs="Arial" w:eastAsia="Arial" w:hAnsi="Arial"/>
          <w:b/>
          <w:bCs/>
          <w:sz w:val="24"/>
          <w:szCs w:val="24"/>
        </w:rPr>
        <w:t xml:space="preserve">Acceptance criteria</w:t>
      </w:r>
    </w:p>
    <w:p>
      <w:pPr>
        <w:spacing w:after="160"/>
      </w:pPr>
      <w:r>
        <w:rPr>
          <w:rFonts w:ascii="Arial" w:cs="Arial" w:eastAsia="Arial" w:hAnsi="Arial"/>
          <w:sz w:val="24"/>
          <w:szCs w:val="24"/>
        </w:rPr>
        <w:t xml:space="preserve">A viewer who has never seen the system should be able to describe what changed without being told. If they cannot, the demo is not ready. If the behavioral contrast is not visually obvious within 15 seconds, the demo fails the bar.</w:t>
      </w:r>
    </w:p>
    <w:p>
      <w:pPr>
        <w:spacing w:after="160"/>
      </w:pPr>
      <w:r>
        <w:rPr>
          <w:rFonts w:ascii="Arial" w:cs="Arial" w:eastAsia="Arial" w:hAnsi="Arial"/>
          <w:b/>
          <w:bCs/>
          <w:sz w:val="24"/>
          <w:szCs w:val="24"/>
        </w:rPr>
        <w:t xml:space="preserve">Primary comparator</w:t>
      </w:r>
    </w:p>
    <w:p>
      <w:pPr>
        <w:spacing w:after="160"/>
      </w:pPr>
      <w:r>
        <w:rPr>
          <w:rFonts w:ascii="Arial" w:cs="Arial" w:eastAsia="Arial" w:hAnsi="Arial"/>
          <w:sz w:val="24"/>
          <w:szCs w:val="24"/>
        </w:rPr>
        <w:t xml:space="preserve">Each demo is paired side-by-side with the same system running the same scenario with the key mechanism disabled (modulation off for Demo 2, body schema disabled for Demo 3, self-generated motion only for Demo 1). This is the primary comparison because it isolates the contribution of the mechanism under test. A secondary RL comparator (PPO or SAC with hand-designed reward for the same task) may be included in later validation (Tier B/C) to support the architectural argument, but it is not required for the initial demo.</w:t>
      </w:r>
    </w:p>
    <w:p>
      <w:r>
        <w:br w:type="page"/>
      </w:r>
    </w:p>
    <w:p>
      <w:pPr>
        <w:pStyle w:val="Heading1"/>
      </w:pPr>
      <w:r>
        <w:t xml:space="preserve">3. Developmental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Target function</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recognizable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Neonate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Self-generated contact loops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Moves limb, receives self-touch, PE for tactile consequence drops over trials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discovery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Infant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Reach/contact contingency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Learns certain visual+motor combinations lead to contact within seconds</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Early reaching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Pain/pleasure discrimination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One-trial hot-object avoidance or light/heavy differentiation with motor adaptation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Sensorimotor learning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Toddler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Tool incorporation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Grasped object treated as self (body schema extends), score drops on release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Tool use, body-schema extension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Delayed resource seeking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safe zone or beneficial agent over minutes, acts to maintain access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Purposeful goal maintenance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Adult (future)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Abstract self-protection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Resource loss, social modeling. Only after above stages established.</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Deferred to avoid overclaiming</w:t>
            </w:r>
          </w:p>
        </w:tc>
      </w:tr>
    </w:tbl>
    <w:p>
      <w:r>
        <w:br w:type="page"/>
      </w:r>
    </w:p>
    <w:p>
      <w:pPr>
        <w:pStyle w:val="Heading1"/>
      </w:pPr>
      <w:r>
        <w:t xml:space="preserve">4. Bootstrapping pipeline</w:t>
      </w:r>
    </w:p>
    <w:p>
      <w:pPr>
        <w:spacing w:after="160"/>
      </w:pPr>
      <w:r>
        <w:rPr>
          <w:rFonts w:ascii="Arial" w:cs="Arial" w:eastAsia="Arial" w:hAnsi="Arial"/>
          <w:sz w:val="24"/>
          <w:szCs w:val="24"/>
        </w:rPr>
        <w:t xml:space="preserve">Early skill acquisition is accelerated by demonstration-based structure. The patent explicitly allows motion signaling from animation tools, neural networks, and motion capture. This section specifies exactly how each method enters the training loop.</w:t>
      </w:r>
    </w:p>
    <w:p>
      <w:pPr>
        <w:spacing w:after="160"/>
      </w:pPr>
      <w:r>
        <w:rPr>
          <w:rFonts w:ascii="Arial" w:cs="Arial" w:eastAsia="Arial" w:hAnsi="Arial"/>
          <w:b/>
          <w:bCs/>
          <w:sz w:val="24"/>
          <w:szCs w:val="24"/>
        </w:rPr>
        <w:t xml:space="preserve">4.1 Motion-to-sense data pipeline</w:t>
      </w:r>
    </w:p>
    <w:p>
      <w:pPr>
        <w:spacing w:after="160"/>
      </w:pPr>
      <w:r>
        <w:rPr>
          <w:rFonts w:ascii="Arial" w:cs="Arial" w:eastAsia="Arial" w:hAnsi="Arial"/>
          <w:sz w:val="24"/>
          <w:szCs w:val="24"/>
        </w:rPr>
        <w:t xml:space="preserve">All bootstrapping methods produce motion data that must be converted to full multi-modal sensory data before entering training. The pipeline is the same regardless of motion source:</w:t>
      </w:r>
    </w:p>
    <w:p>
      <w:pPr>
        <w:spacing w:after="160"/>
      </w:pPr>
      <w:r>
        <w:rPr>
          <w:rFonts w:ascii="Arial" w:cs="Arial" w:eastAsia="Arial" w:hAnsi="Arial"/>
          <w:sz w:val="24"/>
          <w:szCs w:val="24"/>
        </w:rPr>
        <w:t xml:space="preserve">Step 1: Motion source (mocap clip, Kimodo output, authored animation) is retargeted to avatar skeleton via UE5 IK. Input format: timestamped joint angle sequences (BVH or FBX), 60 FPS. Step 2: Replay through UE5 physics simulation with full PCC/PH active, gravity on, collision detection on. The avatar physically executes the demonstrated motion. Step 3: Capture per-frame sensory output: vision (fovea + panorama), touch (TMC patches from collisions), audio (spatial audio from contacts), proprioception (joint positions, velocities, PCC state), motor commands (PH parameters that produced the motion). This produces a motion-sense tuple. Step 4: Store the tuple in the replay buffer with a demonstration flag. Demonstration-flagged frames contribute to prediction loss but not to wellness gradient (the wellness gradient only drives self-generated motor learning, not imitation).</w:t>
      </w:r>
    </w:p>
    <w:p>
      <w:pPr>
        <w:spacing w:after="160"/>
      </w:pPr>
      <w:r>
        <w:rPr>
          <w:rFonts w:ascii="Arial" w:cs="Arial" w:eastAsia="Arial" w:hAnsi="Arial"/>
          <w:sz w:val="24"/>
          <w:szCs w:val="24"/>
        </w:rPr>
        <w:t xml:space="preserve">File format: each entry is a dictionary matching replay buffer schema: timestamp, z_t (encoded tokens), P_t (raw sensor state), motor_commands, wellness_vector, pe_per_modality. Stored as memory-mapped numpy arrays for fast random access. One file per motion clip, indexed by manifest CSV.</w:t>
      </w:r>
    </w:p>
    <w:p>
      <w:pPr>
        <w:spacing w:after="160"/>
      </w:pPr>
      <w:r>
        <w:rPr>
          <w:rFonts w:ascii="Arial" w:cs="Arial" w:eastAsia="Arial" w:hAnsi="Arial"/>
          <w:b/>
          <w:bCs/>
          <w:sz w:val="24"/>
          <w:szCs w:val="24"/>
        </w:rPr>
        <w:t xml:space="preserve">4.2 Batch mixing and graduation</w:t>
      </w:r>
    </w:p>
    <w:p>
      <w:pPr>
        <w:spacing w:after="160"/>
      </w:pPr>
      <w:r>
        <w:rPr>
          <w:rFonts w:ascii="Arial" w:cs="Arial" w:eastAsia="Arial" w:hAnsi="Arial"/>
          <w:sz w:val="24"/>
          <w:szCs w:val="24"/>
        </w:rPr>
        <w:t xml:space="preserve">Mixing is per-batch, not per-episode. Each training batch of size B contains round(B × demo_ratio) demonstration frames and round(B × (1 − demo_ratio)) self-generated frames, sampled uniformly from their respective buffer partitions. demo_ratio starts at 0.80 and decreases by 0.20 each time the graduation criterion is met: PE on self-generated frames drops below 1.5× PE on demonstration frames for the same motor domain, sustained over 10K steps. Curriculum isolation: each developmental stage uses its own demonstration set. Neonate demos are head/neck/core only. Infant adds arm reaching. Baby adds manipulation. Later-stage demos are not mixed into earlier training.</w:t>
      </w:r>
    </w:p>
    <w:p>
      <w:pPr>
        <w:spacing w:after="160"/>
      </w:pPr>
      <w:r>
        <w:rPr>
          <w:rFonts w:ascii="Arial" w:cs="Arial" w:eastAsia="Arial" w:hAnsi="Arial"/>
          <w:b/>
          <w:bCs/>
          <w:sz w:val="24"/>
          <w:szCs w:val="24"/>
        </w:rPr>
        <w:t xml:space="preserve">4.3 Motion sources by stage</w:t>
      </w:r>
    </w:p>
    <w:p>
      <w:pPr>
        <w:spacing w:after="160"/>
      </w:pPr>
      <w:r>
        <w:rPr>
          <w:rFonts w:ascii="Arial" w:cs="Arial" w:eastAsia="Arial" w:hAnsi="Arial"/>
          <w:sz w:val="24"/>
          <w:szCs w:val="24"/>
        </w:rPr>
        <w:t xml:space="preserve">Mocap / authored animation warm-start (neonate → infant). Data: CMU mocap database retargeted to avatar skeleton. Risk: may yield kinematic competence without tactile understanding if used alone. Mitigation: always run through the full physics pipeline so tactile and proprioceptive consequences are real.</w:t>
      </w:r>
    </w:p>
    <w:p>
      <w:pPr>
        <w:spacing w:after="160"/>
      </w:pPr>
      <w:r>
        <w:rPr>
          <w:rFonts w:ascii="Arial" w:cs="Arial" w:eastAsia="Arial" w:hAnsi="Arial"/>
          <w:sz w:val="24"/>
          <w:szCs w:val="24"/>
        </w:rPr>
        <w:t xml:space="preserve">Kimodo / FrankenMotion-style motion generation (infant → baby). Data: text-conditioned or kinematic-constraint-conditioned motion generation. FrankenMotion is particularly relevant because it provides atomic part-level motion control where each body part is guided by its own temporally-structured prompt, mapping directly to our Many Minds architecture where different minds control different body parts. Use the generator to produce a diverse set of motions covering the current developmental stage.</w:t>
      </w:r>
    </w:p>
    <w:p>
      <w:pPr>
        <w:spacing w:after="160"/>
      </w:pPr>
      <w:r>
        <w:rPr>
          <w:rFonts w:ascii="Arial" w:cs="Arial" w:eastAsia="Arial" w:hAnsi="Arial"/>
          <w:sz w:val="24"/>
          <w:szCs w:val="24"/>
        </w:rPr>
        <w:t xml:space="preserve">DeepMimic / AMP-style physics adaptation (infant → toddler). The avatar attempts to match reference motion while maintaining physics plausibility. Unlike pure replay, the avatar must actively control its body to achieve the demonstrated motion, which means motor-sensory correlations are genuine. Training signal: prediction loss on sensory consequences, not style reward. Use when motions must survive contact and environmental variation.</w:t>
      </w:r>
    </w:p>
    <w:p>
      <w:pPr>
        <w:spacing w:after="160"/>
      </w:pPr>
      <w:r>
        <w:rPr>
          <w:rFonts w:ascii="Arial" w:cs="Arial" w:eastAsia="Arial" w:hAnsi="Arial"/>
          <w:sz w:val="24"/>
          <w:szCs w:val="24"/>
        </w:rPr>
        <w:t xml:space="preserve">Scheduled-sampling rollout training (baby → child). After basic competence exists, bridge teacher-guided prediction and self-generated rollouts. During imagination training, gradually increase the fraction of steps where the model uses its own predicted state as input rather than ground-truth state. Start at 0% self-generated (pure teacher forcing), increase by 10% every 50K steps (Bengio et al. 2015).</w:t>
      </w:r>
    </w:p>
    <w:p>
      <w:pPr>
        <w:spacing w:after="160"/>
      </w:pPr>
      <w:r>
        <w:rPr>
          <w:rFonts w:ascii="Arial" w:cs="Arial" w:eastAsia="Arial" w:hAnsi="Arial"/>
          <w:sz w:val="24"/>
          <w:szCs w:val="24"/>
        </w:rPr>
        <w:t xml:space="preserve">Key principle: borrowed structure populates the perception space with meaningful experience. The model organizes that experience through its own prediction and wellness mechanisms. Borrowed structure accelerates gain of function; the architecture ensures gained function is grounded in embodied perception, not merely kinematic replay.</w:t>
      </w:r>
    </w:p>
    <w:p>
      <w:r>
        <w:br w:type="page"/>
      </w:r>
    </w:p>
    <w:p>
      <w:pPr>
        <w:pStyle w:val="Heading1"/>
      </w:pPr>
      <w:r>
        <w:t xml:space="preserve">5. Tiered empirical plan</w:t>
      </w:r>
    </w:p>
    <w:p>
      <w:pPr>
        <w:spacing w:after="160"/>
      </w:pPr>
      <w:r>
        <w:rPr>
          <w:rFonts w:ascii="Arial" w:cs="Arial" w:eastAsia="Arial" w:hAnsi="Arial"/>
          <w:sz w:val="24"/>
          <w:szCs w:val="24"/>
        </w:rPr>
        <w:t xml:space="preserve">All numeric thresholds in this section are initial operational defaults. They will be recalibrated after the first sweep of Tier A runs.</w:t>
      </w:r>
    </w:p>
    <w:p>
      <w:pPr>
        <w:spacing w:after="160"/>
      </w:pPr>
      <w:r>
        <w:rPr>
          <w:rFonts w:ascii="Arial" w:cs="Arial" w:eastAsia="Arial" w:hAnsi="Arial"/>
          <w:b/>
          <w:bCs/>
          <w:sz w:val="24"/>
          <w:szCs w:val="24"/>
        </w:rPr>
        <w:t xml:space="preserve">Tier A: screening runs (minutes to hours)</w:t>
      </w:r>
    </w:p>
    <w:p>
      <w:pPr>
        <w:spacing w:after="160"/>
      </w:pPr>
      <w:r>
        <w:rPr>
          <w:rFonts w:ascii="Arial" w:cs="Arial" w:eastAsia="Arial" w:hAnsi="Arial"/>
          <w:sz w:val="24"/>
          <w:szCs w:val="24"/>
        </w:rPr>
        <w:t xml:space="preserve">Goal: cheaply reject bad levers, bad environments, bad metric definitions. Compare configurations at equal compute budget, not equal steps.</w:t>
      </w:r>
    </w:p>
    <w:p>
      <w:pPr>
        <w:spacing w:after="160"/>
      </w:pPr>
      <w:r>
        <w:rPr>
          <w:rFonts w:ascii="Arial" w:cs="Arial" w:eastAsia="Arial" w:hAnsi="Arial"/>
          <w:sz w:val="24"/>
          <w:szCs w:val="24"/>
        </w:rPr>
        <w:t xml:space="preserve">Promotion criteria (all must hold): (1) PE slope for target modality is negative with magnitude &gt; 0.001 per 1K steps, averaged over the last 10K steps. (2) At least one probe family shows accuracy improvement &gt; 5 percentage points from random baseline. (3) Motor discrimination ratio &gt; 1.5. (4) Wall-clock cost per 10K steps within 2× of the cheapest configuration tested. (5) No NaN or divergence events.</w:t>
      </w:r>
    </w:p>
    <w:p>
      <w:pPr>
        <w:spacing w:after="160"/>
      </w:pPr>
      <w:r>
        <w:rPr>
          <w:rFonts w:ascii="Arial" w:cs="Arial" w:eastAsia="Arial" w:hAnsi="Arial"/>
          <w:sz w:val="24"/>
          <w:szCs w:val="24"/>
        </w:rPr>
        <w:t xml:space="preserve">Kill criteria (any triggers termination): (1) PE slope flat or positive after 20K steps. (2) No probe improvement after 30K steps. (3) Training loss diverges. Promotion and kill decisions are fully automated. No human review needed for Tier A pass/fail.</w:t>
      </w:r>
    </w:p>
    <w:p>
      <w:pPr>
        <w:spacing w:after="160"/>
      </w:pPr>
      <w:r>
        <w:rPr>
          <w:rFonts w:ascii="Arial" w:cs="Arial" w:eastAsia="Arial" w:hAnsi="Arial"/>
          <w:b/>
          <w:bCs/>
          <w:sz w:val="24"/>
          <w:szCs w:val="24"/>
        </w:rPr>
        <w:t xml:space="preserve">Tier B: milestone confirmation (days)</w:t>
      </w:r>
    </w:p>
    <w:p>
      <w:pPr>
        <w:spacing w:after="160"/>
      </w:pPr>
      <w:r>
        <w:rPr>
          <w:rFonts w:ascii="Arial" w:cs="Arial" w:eastAsia="Arial" w:hAnsi="Arial"/>
          <w:sz w:val="24"/>
          <w:szCs w:val="24"/>
        </w:rPr>
        <w:t xml:space="preserve">Only routes promoted from Tier A. Run the developmental ladder from neonate through baby. Measure all six metrics. Test transfer: does function gained in one environment generalize to a novel arrangement? A handful of conditions only.</w:t>
      </w:r>
    </w:p>
    <w:p>
      <w:pPr>
        <w:spacing w:after="160"/>
      </w:pPr>
      <w:r>
        <w:rPr>
          <w:rFonts w:ascii="Arial" w:cs="Arial" w:eastAsia="Arial" w:hAnsi="Arial"/>
          <w:b/>
          <w:bCs/>
          <w:sz w:val="24"/>
          <w:szCs w:val="24"/>
        </w:rPr>
        <w:t xml:space="preserve">Tier C: long-horizon bets (weeks)</w:t>
      </w:r>
    </w:p>
    <w:p>
      <w:pPr>
        <w:spacing w:after="160"/>
      </w:pPr>
      <w:r>
        <w:rPr>
          <w:rFonts w:ascii="Arial" w:cs="Arial" w:eastAsia="Arial" w:hAnsi="Arial"/>
          <w:sz w:val="24"/>
          <w:szCs w:val="24"/>
        </w:rPr>
        <w:t xml:space="preserve">Only after Tier A and B success. Deeper self-model, social extension, abstraction, long-period memory.</w:t>
      </w:r>
    </w:p>
    <w:p>
      <w:r>
        <w:br w:type="page"/>
      </w:r>
    </w:p>
    <w:p>
      <w:pPr>
        <w:pStyle w:val="Heading1"/>
      </w:pPr>
      <w:r>
        <w:t xml:space="preserve">6. Experiment harness</w:t>
      </w:r>
    </w:p>
    <w:p>
      <w:pPr>
        <w:spacing w:after="160"/>
      </w:pPr>
      <w:r>
        <w:rPr>
          <w:rFonts w:ascii="Arial" w:cs="Arial" w:eastAsia="Arial" w:hAnsi="Arial"/>
          <w:sz w:val="24"/>
          <w:szCs w:val="24"/>
        </w:rPr>
        <w:t xml:space="preserve">Every run is defined by a YAML config specifying: model_size, modality_set, modulation_flags (resolution / lr / temperature, each on or off), environment_id, bootstrapping (method, demo_ratio, motion_source), tier_level, max_steps.</w:t>
      </w:r>
    </w:p>
    <w:p>
      <w:pPr>
        <w:spacing w:after="160"/>
      </w:pPr>
      <w:r>
        <w:rPr>
          <w:rFonts w:ascii="Arial" w:cs="Arial" w:eastAsia="Arial" w:hAnsi="Arial"/>
          <w:sz w:val="24"/>
          <w:szCs w:val="24"/>
        </w:rPr>
        <w:t xml:space="preserve">The harness emits a JSONL log every 1K steps with: step_count, wall_clock_seconds, pe_per_modality, probe_accuracy_per_family (run every 10K steps, null otherwise), motor_discrimination_ratio, wellness_components, gpu_memory_peak_mb, gradient_norm.</w:t>
      </w:r>
    </w:p>
    <w:p>
      <w:pPr>
        <w:spacing w:after="160"/>
      </w:pPr>
      <w:r>
        <w:rPr>
          <w:rFonts w:ascii="Arial" w:cs="Arial" w:eastAsia="Arial" w:hAnsi="Arial"/>
          <w:sz w:val="24"/>
          <w:szCs w:val="24"/>
        </w:rPr>
        <w:t xml:space="preserve">At termination (max steps or early stopping), the harness emits a summary JSON: pass_fail, promotion_recommendation, best_pe, best_probe_accuracy, total_compute_hours, failure_code (one of: PASS, FAIL_PE_SLOPE, FAIL_PROBE, FAIL_DISCRIM, FAIL_COST, FAIL_DIVERGE, TIMEOUT).</w:t>
      </w:r>
    </w:p>
    <w:p>
      <w:pPr>
        <w:spacing w:after="160"/>
      </w:pPr>
      <w:r>
        <w:rPr>
          <w:rFonts w:ascii="Arial" w:cs="Arial" w:eastAsia="Arial" w:hAnsi="Arial"/>
          <w:sz w:val="24"/>
          <w:szCs w:val="24"/>
        </w:rPr>
        <w:t xml:space="preserve">Auto-generated plots per run: PE trajectory per modality, probe accuracy over time, discrimination ratio over time. A sweep script takes a list of YAML configs, runs them sequentially or in parallel, collects summaries, rank-orders by cost-adjusted probe improvement ((probe_accuracy_improvement) / (wall_clock_hours)), and outputs a promotion report. This is the automation layer that prevents wasting weeks on weak ideas.</w:t>
      </w:r>
    </w:p>
    <w:p>
      <w:r>
        <w:br w:type="page"/>
      </w:r>
    </w:p>
    <w:p>
      <w:pPr>
        <w:pStyle w:val="Heading1"/>
      </w:pPr>
      <w:r>
        <w:t xml:space="preserve">7. Automated metrics</w:t>
      </w:r>
    </w:p>
    <w:p>
      <w:pPr>
        <w:spacing w:after="160"/>
      </w:pPr>
      <w:r>
        <w:rPr>
          <w:rFonts w:ascii="Arial" w:cs="Arial" w:eastAsia="Arial" w:hAnsi="Arial"/>
          <w:b/>
          <w:bCs/>
          <w:sz w:val="24"/>
          <w:szCs w:val="24"/>
        </w:rPr>
        <w:t xml:space="preserve">Metric 1: PE trajectory per modality</w:t>
      </w:r>
    </w:p>
    <w:p>
      <w:pPr>
        <w:spacing w:after="160"/>
      </w:pPr>
      <w:r>
        <w:rPr>
          <w:rFonts w:ascii="Arial" w:cs="Arial" w:eastAsia="Arial" w:hAnsi="Arial"/>
          <w:sz w:val="24"/>
          <w:szCs w:val="24"/>
        </w:rPr>
        <w:t xml:space="preserve">Logged every frame. Function gain = PE drop conditioned on environmental stability.</w:t>
      </w:r>
    </w:p>
    <w:p>
      <w:pPr>
        <w:spacing w:after="160"/>
      </w:pPr>
      <w:r>
        <w:rPr>
          <w:rFonts w:ascii="Arial" w:cs="Arial" w:eastAsia="Arial" w:hAnsi="Arial"/>
          <w:b/>
          <w:bCs/>
          <w:sz w:val="24"/>
          <w:szCs w:val="24"/>
        </w:rPr>
        <w:t xml:space="preserve">Metric 2: Linear probe accuracy</w:t>
      </w:r>
    </w:p>
    <w:p>
      <w:pPr>
        <w:spacing w:after="160"/>
      </w:pPr>
      <w:r>
        <w:rPr>
          <w:rFonts w:ascii="Arial" w:cs="Arial" w:eastAsia="Arial" w:hAnsi="Arial"/>
          <w:sz w:val="24"/>
          <w:szCs w:val="24"/>
        </w:rPr>
        <w:t xml:space="preserve">nn.Linear(d_model, n_classes), frozen encoder, cross-entropy loss. Labels auto-derived from simulator state (touching, carrying, near wall, in safe zone). Run every 10K steps, 200 training steps, ~5 seconds. Three probe families: contact detection, heaviness/effort, anticipatory avoidance.</w:t>
      </w:r>
    </w:p>
    <w:p>
      <w:pPr>
        <w:spacing w:after="160"/>
      </w:pPr>
      <w:r>
        <w:rPr>
          <w:rFonts w:ascii="Arial" w:cs="Arial" w:eastAsia="Arial" w:hAnsi="Arial"/>
          <w:b/>
          <w:bCs/>
          <w:sz w:val="24"/>
          <w:szCs w:val="24"/>
        </w:rPr>
        <w:t xml:space="preserve">Metric 3: Motor differentiation</w:t>
      </w:r>
    </w:p>
    <w:p>
      <w:pPr>
        <w:spacing w:after="160"/>
      </w:pPr>
      <w:r>
        <w:rPr>
          <w:rFonts w:ascii="Arial" w:cs="Arial" w:eastAsia="Arial" w:hAnsi="Arial"/>
          <w:sz w:val="24"/>
          <w:szCs w:val="24"/>
        </w:rPr>
        <w:t xml:space="preserve">4–6 canonical environment configurations set up programmatically. Log motor output per configuration every N steps. Between-config variance / within-config variance = discrimination ratio. Fully automated.</w:t>
      </w:r>
    </w:p>
    <w:p>
      <w:pPr>
        <w:spacing w:after="160"/>
      </w:pPr>
      <w:r>
        <w:rPr>
          <w:rFonts w:ascii="Arial" w:cs="Arial" w:eastAsia="Arial" w:hAnsi="Arial"/>
          <w:b/>
          <w:bCs/>
          <w:sz w:val="24"/>
          <w:szCs w:val="24"/>
        </w:rPr>
        <w:t xml:space="preserve">Metric 4: Imagination accuracy</w:t>
      </w:r>
    </w:p>
    <w:p>
      <w:pPr>
        <w:spacing w:after="160"/>
      </w:pPr>
      <w:r>
        <w:rPr>
          <w:rFonts w:ascii="Arial" w:cs="Arial" w:eastAsia="Arial" w:hAnsi="Arial"/>
          <w:sz w:val="24"/>
          <w:szCs w:val="24"/>
        </w:rPr>
        <w:t xml:space="preserve">Correlation between imagined and actual wellness after executing imagined action. Rolling window.</w:t>
      </w:r>
    </w:p>
    <w:p>
      <w:pPr>
        <w:spacing w:after="160"/>
      </w:pPr>
      <w:r>
        <w:rPr>
          <w:rFonts w:ascii="Arial" w:cs="Arial" w:eastAsia="Arial" w:hAnsi="Arial"/>
          <w:b/>
          <w:bCs/>
          <w:sz w:val="24"/>
          <w:szCs w:val="24"/>
        </w:rPr>
        <w:t xml:space="preserve">Metric 5: Adaptive mastery detection</w:t>
      </w:r>
    </w:p>
    <w:p>
      <w:pPr>
        <w:spacing w:after="160"/>
      </w:pPr>
      <w:r>
        <w:rPr>
          <w:rFonts w:ascii="Arial" w:cs="Arial" w:eastAsia="Arial" w:hAnsi="Arial"/>
          <w:sz w:val="24"/>
          <w:szCs w:val="24"/>
        </w:rPr>
        <w:t xml:space="preserve">Mastery = conjunction of: low PE, low PE slope, probe accuracy above threshold for the domain, and perturbation recovery (briefly alter environment, confirm PE spikes then recovers). Replaces flat 50K window.</w:t>
      </w:r>
    </w:p>
    <w:p>
      <w:pPr>
        <w:spacing w:after="160"/>
      </w:pPr>
      <w:r>
        <w:rPr>
          <w:rFonts w:ascii="Arial" w:cs="Arial" w:eastAsia="Arial" w:hAnsi="Arial"/>
          <w:b/>
          <w:bCs/>
          <w:sz w:val="24"/>
          <w:szCs w:val="24"/>
        </w:rPr>
        <w:t xml:space="preserve">Metric 6: Self-model coherence</w:t>
      </w:r>
    </w:p>
    <w:p>
      <w:pPr>
        <w:spacing w:after="160"/>
      </w:pPr>
      <w:r>
        <w:rPr>
          <w:rFonts w:ascii="Arial" w:cs="Arial" w:eastAsia="Arial" w:hAnsi="Arial"/>
          <w:sz w:val="24"/>
          <w:szCs w:val="24"/>
        </w:rPr>
        <w:t xml:space="preserve">Body schema coherence trajectory. Ownership-transfer test: object alternates between grasped, externally moved, and stationary. Self-membership should track grasped state. Automatable with scripted object interactions.</w:t>
      </w:r>
    </w:p>
    <w:p>
      <w:r>
        <w:br w:type="page"/>
      </w:r>
    </w:p>
    <w:p>
      <w:pPr>
        <w:pStyle w:val="Heading1"/>
      </w:pPr>
      <w:r>
        <w:t xml:space="preserve">8. Key experiments</w:t>
      </w:r>
    </w:p>
    <w:p>
      <w:pPr>
        <w:spacing w:after="160"/>
      </w:pPr>
      <w:r>
        <w:rPr>
          <w:rFonts w:ascii="Arial" w:cs="Arial" w:eastAsia="Arial" w:hAnsi="Arial"/>
          <w:b/>
          <w:bCs/>
          <w:sz w:val="24"/>
          <w:szCs w:val="24"/>
        </w:rPr>
        <w:t xml:space="preserve">8.1 Modulation ablation (phased)</w:t>
      </w:r>
    </w:p>
    <w:p>
      <w:pPr>
        <w:spacing w:after="160"/>
      </w:pPr>
      <w:r>
        <w:rPr>
          <w:rFonts w:ascii="Arial" w:cs="Arial" w:eastAsia="Arial" w:hAnsi="Arial"/>
          <w:sz w:val="24"/>
          <w:szCs w:val="24"/>
        </w:rPr>
        <w:t xml:space="preserve">Phase 1 (Tier A): single mind, simple environment (avatar + one object). Config A: no modulation. Config B: sensor resolution modulated by wellness only. Measure PE trajectory. If B is faster, the simplest lever works. Phase 2: add learning rate modulation. Phase 3: add temperature. Each phase isolates one lever. Early stopping at 50K steps per phase.</w:t>
      </w:r>
    </w:p>
    <w:p>
      <w:pPr>
        <w:spacing w:after="160"/>
      </w:pPr>
      <w:r>
        <w:rPr>
          <w:rFonts w:ascii="Arial" w:cs="Arial" w:eastAsia="Arial" w:hAnsi="Arial"/>
          <w:b/>
          <w:bCs/>
          <w:sz w:val="24"/>
          <w:szCs w:val="24"/>
        </w:rPr>
        <w:t xml:space="preserve">8.2 Weight-encoded temporal memory</w:t>
      </w:r>
    </w:p>
    <w:p>
      <w:pPr>
        <w:spacing w:after="160"/>
      </w:pPr>
      <w:r>
        <w:rPr>
          <w:rFonts w:ascii="Arial" w:cs="Arial" w:eastAsia="Arial" w:hAnsi="Arial"/>
          <w:sz w:val="24"/>
          <w:szCs w:val="24"/>
        </w:rPr>
        <w:t xml:space="preserve">Periodic object appears every N minutes, touching it gives wellness boost, disappears after 30 seconds. Track PE at moment of appearance across cycles. Controls: omitted-cycle test (skip one, does PE spike at expected time?), phase-shift test (shift time, does model show expectation at old time?), relocation test (move object, does model expect at old location?). These distinguish genuine temporal expectation from mere familiarity. Vary N from 2 to 30 minutes. Can run in days.</w:t>
      </w:r>
    </w:p>
    <w:p>
      <w:pPr>
        <w:spacing w:after="160"/>
      </w:pPr>
      <w:r>
        <w:rPr>
          <w:rFonts w:ascii="Arial" w:cs="Arial" w:eastAsia="Arial" w:hAnsi="Arial"/>
          <w:b/>
          <w:bCs/>
          <w:sz w:val="24"/>
          <w:szCs w:val="24"/>
        </w:rPr>
        <w:t xml:space="preserve">8.3 Scaling</w:t>
      </w:r>
    </w:p>
    <w:p>
      <w:pPr>
        <w:spacing w:after="160"/>
      </w:pPr>
      <w:r>
        <w:rPr>
          <w:rFonts w:ascii="Arial" w:cs="Arial" w:eastAsia="Arial" w:hAnsi="Arial"/>
          <w:sz w:val="24"/>
          <w:szCs w:val="24"/>
        </w:rPr>
        <w:t xml:space="preserve">Same environment, 3 model sizes (~34M, ~271M, ~500M). Compare at equal compute budget. Measure PE convergence and probe accuracy. Then run 271M with and without mind splitting. Compare cost-per-milestone and transfer speed to novel environment.</w:t>
      </w:r>
    </w:p>
    <w:p>
      <w:pPr>
        <w:spacing w:after="160"/>
      </w:pPr>
      <w:r>
        <w:rPr>
          <w:rFonts w:ascii="Arial" w:cs="Arial" w:eastAsia="Arial" w:hAnsi="Arial"/>
          <w:b/>
          <w:bCs/>
          <w:sz w:val="24"/>
          <w:szCs w:val="24"/>
        </w:rPr>
        <w:t xml:space="preserve">8.4 Modality ablation</w:t>
      </w:r>
    </w:p>
    <w:p>
      <w:pPr>
        <w:spacing w:after="160"/>
      </w:pPr>
      <w:r>
        <w:rPr>
          <w:rFonts w:ascii="Arial" w:cs="Arial" w:eastAsia="Arial" w:hAnsi="Arial"/>
          <w:sz w:val="24"/>
          <w:szCs w:val="24"/>
        </w:rPr>
        <w:t xml:space="preserve">(A) vision only, (B) vision + touch, (C) vision + touch + proprio, (D) all 6. Same environment, same model size. Measure PE convergence and probe accuracy for three probe families. Report sample efficiency curves. If B and C reach discriminations faster than A, the multi-modal advantage is confirmed.</w:t>
      </w:r>
    </w:p>
    <w:p>
      <w:r>
        <w:br w:type="page"/>
      </w:r>
    </w:p>
    <w:p>
      <w:pPr>
        <w:pStyle w:val="Heading1"/>
      </w:pPr>
      <w:r>
        <w:t xml:space="preserve">9. Environment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Claims validated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room + gravity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Motor-sensory correlation, body schema, developmental constraints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Coherence &gt; 0.8 within 100K steps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discovery, movement-touch loop</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Room + 3 objects (light, heavy, medium)</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Multi-modal composition, motor differentiation, object incorporation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Probe &gt; 80% for heavy/light</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Joint perception space, compositional 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 thermal surfaces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Pain/pleasure, anticipatory avoidance, credit assignment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 avoidance within 10K steps (touch+vision) vs 100K+ (vision only)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Shorter credit paths, modulation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Room + periodic events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Weight-encoded temporal memory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 reduction across cycles, tested at 2-30 min periods</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Weights as long-term memory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 another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Proto-social behavior, gaze patterns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Gaze dwell difference between pleasant vs aversive touch conditions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Self-boundary, valence-driven organization</w:t>
            </w:r>
          </w:p>
        </w:tc>
      </w:tr>
    </w:tbl>
    <w:p>
      <w:r>
        <w:br w:type="page"/>
      </w:r>
    </w:p>
    <w:p>
      <w:pPr>
        <w:pStyle w:val="Heading1"/>
      </w:pPr>
      <w:r>
        <w:t xml:space="preserve">10. Why not RL with policies?</w:t>
      </w:r>
    </w:p>
    <w:p>
      <w:pPr>
        <w:spacing w:after="160"/>
      </w:pPr>
      <w:r>
        <w:rPr>
          <w:rFonts w:ascii="Arial" w:cs="Arial" w:eastAsia="Arial" w:hAnsi="Arial"/>
          <w:sz w:val="24"/>
          <w:szCs w:val="24"/>
        </w:rPr>
        <w:t xml:space="preserve">RL policies optimize externally-defined reward via direct observation-to-action mapping. They are fragile (reward-function-dependent), non-generalizable (no world model, cannot reason about novelty), expensive (combinatorial coverage), and experientially empty (no PE, no wellness, no self). Model-based RL adds prediction but still uses external reward, has no self-model, and no modulation. Our architecture is different at every level: predict rather than react, evaluate wellness rather than reward, ground behavior in embodied state, discover self rather than assume it, modulate perception with experience. The result is not a better policy. It is a different kind of system. The demo comparators in Section 2 test this claim empirically.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2026-03-26T06:11:53.094Z</dcterms:created>
  <dcterms:modified xsi:type="dcterms:W3CDTF">2026-03-26T06:11:53.095Z</dcterms:modified>
</cp:coreProperties>
</file>

<file path=docProps/custom.xml><?xml version="1.0" encoding="utf-8"?>
<Properties xmlns="http://schemas.openxmlformats.org/officeDocument/2006/custom-properties" xmlns:vt="http://schemas.openxmlformats.org/officeDocument/2006/docPropsVTypes"/>
</file>