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903" w:rsidRDefault="00A05903" w:rsidP="00E10AD8">
      <w:pPr>
        <w:jc w:val="center"/>
        <w:rPr>
          <w:rFonts w:ascii="Times New Roman" w:hAnsi="Times New Roman" w:cs="Times New Roman"/>
          <w:b/>
          <w:sz w:val="24"/>
          <w:szCs w:val="24"/>
        </w:rPr>
      </w:pPr>
      <w:r w:rsidRPr="00A05903">
        <w:rPr>
          <w:rFonts w:ascii="Times New Roman" w:hAnsi="Times New Roman" w:cs="Times New Roman"/>
          <w:b/>
          <w:sz w:val="24"/>
          <w:szCs w:val="24"/>
        </w:rPr>
        <w:t>Introduction</w:t>
      </w:r>
    </w:p>
    <w:p w:rsidR="00A05903" w:rsidRDefault="00A05903" w:rsidP="00A05903">
      <w:pPr>
        <w:ind w:firstLine="720"/>
        <w:rPr>
          <w:rFonts w:ascii="Times New Roman" w:hAnsi="Times New Roman" w:cs="Times New Roman"/>
          <w:sz w:val="24"/>
          <w:szCs w:val="24"/>
        </w:rPr>
      </w:pPr>
      <w:r>
        <w:rPr>
          <w:rFonts w:ascii="Times New Roman" w:hAnsi="Times New Roman" w:cs="Times New Roman"/>
          <w:sz w:val="24"/>
          <w:szCs w:val="24"/>
        </w:rPr>
        <w:t xml:space="preserve">Effective marketing for the firm is an ongoing sport, it would seem. Ensuring the proper group of </w:t>
      </w:r>
      <w:r>
        <w:rPr>
          <w:rFonts w:ascii="Times New Roman" w:hAnsi="Times New Roman" w:cs="Times New Roman"/>
          <w:sz w:val="24"/>
          <w:szCs w:val="24"/>
        </w:rPr>
        <w:t>existing</w:t>
      </w:r>
      <w:r>
        <w:rPr>
          <w:rFonts w:ascii="Times New Roman" w:hAnsi="Times New Roman" w:cs="Times New Roman"/>
          <w:sz w:val="24"/>
          <w:szCs w:val="24"/>
        </w:rPr>
        <w:t xml:space="preserve"> and prospective clients receives marketing material, and in a way that is conducive to their reception and consideration is an evolving process. For example, sending an email to someone over 80, or recommending a home loan to </w:t>
      </w:r>
      <w:r w:rsidR="00C81C21">
        <w:rPr>
          <w:rFonts w:ascii="Times New Roman" w:hAnsi="Times New Roman" w:cs="Times New Roman"/>
          <w:sz w:val="24"/>
          <w:szCs w:val="24"/>
        </w:rPr>
        <w:t xml:space="preserve">a </w:t>
      </w:r>
      <w:r>
        <w:rPr>
          <w:rFonts w:ascii="Times New Roman" w:hAnsi="Times New Roman" w:cs="Times New Roman"/>
          <w:sz w:val="24"/>
          <w:szCs w:val="24"/>
        </w:rPr>
        <w:t>freshman in college are both likely to be unsuccessful campaigns. And the firm can obviously not continue without effective methods to draw new business, from both new clients and existing clients.</w:t>
      </w:r>
    </w:p>
    <w:p w:rsidR="00A05903" w:rsidRPr="00890EB3" w:rsidRDefault="00A05903" w:rsidP="00A05903">
      <w:pPr>
        <w:rPr>
          <w:rFonts w:ascii="Times New Roman" w:hAnsi="Times New Roman" w:cs="Times New Roman"/>
          <w:sz w:val="24"/>
          <w:szCs w:val="24"/>
        </w:rPr>
      </w:pPr>
      <w:r>
        <w:rPr>
          <w:rFonts w:ascii="Times New Roman" w:hAnsi="Times New Roman" w:cs="Times New Roman"/>
          <w:sz w:val="24"/>
          <w:szCs w:val="24"/>
        </w:rPr>
        <w:tab/>
        <w:t xml:space="preserve">Recently, the firm began offering a personal equity plan (PEP going forward) similar to that introduced in the UK in 1987. In order to inform current and prospective buyers, the marketing department sent 600 mailers to various people throughout the city promoting the new product. </w:t>
      </w:r>
      <w:r>
        <w:rPr>
          <w:rFonts w:ascii="Times New Roman" w:hAnsi="Times New Roman" w:cs="Times New Roman"/>
          <w:sz w:val="24"/>
          <w:szCs w:val="24"/>
        </w:rPr>
        <w:t>This was done not just to drive business, but as a marketing exercise to determine guidelines regarding who would be a good candidate for future purchases of the firm’s new PEP.</w:t>
      </w:r>
    </w:p>
    <w:p w:rsidR="00A05903" w:rsidRPr="00A05903" w:rsidRDefault="00A05903" w:rsidP="00AC6BF0">
      <w:pPr>
        <w:rPr>
          <w:rFonts w:ascii="Times New Roman" w:hAnsi="Times New Roman" w:cs="Times New Roman"/>
          <w:sz w:val="24"/>
          <w:szCs w:val="24"/>
        </w:rPr>
      </w:pPr>
      <w:r>
        <w:rPr>
          <w:rFonts w:ascii="Times New Roman" w:hAnsi="Times New Roman" w:cs="Times New Roman"/>
          <w:sz w:val="24"/>
          <w:szCs w:val="24"/>
        </w:rPr>
        <w:tab/>
        <w:t xml:space="preserve">This report is an examination of the demographic data collected by the marketing department. The goal is to determine which demographic factors contribute to the likelihood of a client purchasing the new PEP, so that the guidelines described above can be established and more effective marketing campaigns can be </w:t>
      </w:r>
      <w:r w:rsidR="00E87019">
        <w:rPr>
          <w:rFonts w:ascii="Times New Roman" w:hAnsi="Times New Roman" w:cs="Times New Roman"/>
          <w:sz w:val="24"/>
          <w:szCs w:val="24"/>
        </w:rPr>
        <w:t>initiated</w:t>
      </w:r>
      <w:r>
        <w:rPr>
          <w:rFonts w:ascii="Times New Roman" w:hAnsi="Times New Roman" w:cs="Times New Roman"/>
          <w:sz w:val="24"/>
          <w:szCs w:val="24"/>
        </w:rPr>
        <w:t>.</w:t>
      </w:r>
    </w:p>
    <w:p w:rsidR="008D5143" w:rsidRDefault="00AC6BF0" w:rsidP="00E10AD8">
      <w:pPr>
        <w:jc w:val="center"/>
        <w:rPr>
          <w:rFonts w:ascii="Times New Roman" w:hAnsi="Times New Roman" w:cs="Times New Roman"/>
          <w:b/>
          <w:sz w:val="24"/>
          <w:szCs w:val="24"/>
        </w:rPr>
      </w:pPr>
      <w:r>
        <w:rPr>
          <w:rFonts w:ascii="Times New Roman" w:hAnsi="Times New Roman" w:cs="Times New Roman"/>
          <w:b/>
          <w:sz w:val="24"/>
          <w:szCs w:val="24"/>
        </w:rPr>
        <w:t>Section 1: A</w:t>
      </w:r>
      <w:r w:rsidR="005A536F">
        <w:rPr>
          <w:rFonts w:ascii="Times New Roman" w:hAnsi="Times New Roman" w:cs="Times New Roman"/>
          <w:b/>
          <w:sz w:val="24"/>
          <w:szCs w:val="24"/>
        </w:rPr>
        <w:t>nalysis and Models</w:t>
      </w:r>
    </w:p>
    <w:p w:rsidR="005A536F" w:rsidRDefault="005A536F" w:rsidP="00AC6BF0">
      <w:pPr>
        <w:rPr>
          <w:rFonts w:ascii="Times New Roman" w:hAnsi="Times New Roman" w:cs="Times New Roman"/>
          <w:b/>
          <w:sz w:val="24"/>
          <w:szCs w:val="24"/>
        </w:rPr>
      </w:pPr>
      <w:r>
        <w:rPr>
          <w:rFonts w:ascii="Times New Roman" w:hAnsi="Times New Roman" w:cs="Times New Roman"/>
          <w:b/>
          <w:sz w:val="24"/>
          <w:szCs w:val="24"/>
        </w:rPr>
        <w:t>Section 1.1: About the Data</w:t>
      </w:r>
    </w:p>
    <w:p w:rsidR="005A536F" w:rsidRDefault="005A536F" w:rsidP="00AC6BF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mentioned, the marketing department has provided demographic data of everyone that received a PEP mailer last year. The dataset contains the following information for each of the 600 individuals:</w:t>
      </w:r>
    </w:p>
    <w:p w:rsidR="005A536F" w:rsidRDefault="005A536F"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 reference id number</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 – customer age measured in years</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Sex – male/female</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Region – inner city/rural/suburban/town</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Income – customer income</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Married – is the customer married (yes/no)</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Children – number of children</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 – does the customer own a car (yes/no)</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Save_act – does the customer have a savings account (yes/no)</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Current_act – does the customer have a current account (yes/no)</w:t>
      </w:r>
    </w:p>
    <w:p w:rsidR="00EE4539" w:rsidRDefault="00EE4539" w:rsidP="005A53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Mortgage – does the customer have a mortgage (yes/no)</w:t>
      </w:r>
    </w:p>
    <w:p w:rsidR="00EE4539" w:rsidRDefault="00EE4539" w:rsidP="00EE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Pep – did the customer buy a PEP after the last mailing (yes/no)</w:t>
      </w:r>
    </w:p>
    <w:p w:rsidR="00EE4539" w:rsidRDefault="00EE4539" w:rsidP="00EE4539">
      <w:pPr>
        <w:rPr>
          <w:rFonts w:ascii="Times New Roman" w:hAnsi="Times New Roman" w:cs="Times New Roman"/>
          <w:sz w:val="24"/>
          <w:szCs w:val="24"/>
        </w:rPr>
      </w:pPr>
      <w:r>
        <w:rPr>
          <w:rFonts w:ascii="Times New Roman" w:hAnsi="Times New Roman" w:cs="Times New Roman"/>
          <w:sz w:val="24"/>
          <w:szCs w:val="24"/>
        </w:rPr>
        <w:t xml:space="preserve">Since the goal of the investigation is to see which combination of the above </w:t>
      </w:r>
      <w:r w:rsidR="00DF1E59">
        <w:rPr>
          <w:rFonts w:ascii="Times New Roman" w:hAnsi="Times New Roman" w:cs="Times New Roman"/>
          <w:sz w:val="24"/>
          <w:szCs w:val="24"/>
        </w:rPr>
        <w:t>characteristics</w:t>
      </w:r>
      <w:r>
        <w:rPr>
          <w:rFonts w:ascii="Times New Roman" w:hAnsi="Times New Roman" w:cs="Times New Roman"/>
          <w:sz w:val="24"/>
          <w:szCs w:val="24"/>
        </w:rPr>
        <w:t xml:space="preserve"> contributes to the purchase of a PEP, a technique called association rule mining was implemented (more on this is Section 1.2). To do this, certain adjustments to the data had to be made.</w:t>
      </w:r>
    </w:p>
    <w:p w:rsidR="00EE4539" w:rsidRDefault="00EE4539" w:rsidP="00EE4539">
      <w:pPr>
        <w:rPr>
          <w:rFonts w:ascii="Times New Roman" w:hAnsi="Times New Roman" w:cs="Times New Roman"/>
          <w:sz w:val="24"/>
          <w:szCs w:val="24"/>
        </w:rPr>
      </w:pPr>
      <w:r>
        <w:rPr>
          <w:rFonts w:ascii="Times New Roman" w:hAnsi="Times New Roman" w:cs="Times New Roman"/>
          <w:sz w:val="24"/>
          <w:szCs w:val="24"/>
        </w:rPr>
        <w:lastRenderedPageBreak/>
        <w:tab/>
        <w:t xml:space="preserve">First, the entire dataset was screened for missing values, of which there were none. Next, the variable ID was removed as it is purely an identifier and a client’s ID number has no impact on whether they purchased a PEP, or any product for that matter. The age variable was broken into categories that reflect the client’s decade of life, e.g. a client that was 27 years old would be identified as “twenties”, a 43-year-old client would be “forties”, etc. Similarly, the income variable was broken into </w:t>
      </w:r>
      <w:r w:rsidR="00DF1E59">
        <w:rPr>
          <w:rFonts w:ascii="Times New Roman" w:hAnsi="Times New Roman" w:cs="Times New Roman"/>
          <w:sz w:val="24"/>
          <w:szCs w:val="24"/>
        </w:rPr>
        <w:t>three groups</w:t>
      </w:r>
      <w:r>
        <w:rPr>
          <w:rFonts w:ascii="Times New Roman" w:hAnsi="Times New Roman" w:cs="Times New Roman"/>
          <w:sz w:val="24"/>
          <w:szCs w:val="24"/>
        </w:rPr>
        <w:t xml:space="preserve"> based on the range of </w:t>
      </w:r>
      <w:r w:rsidR="00C05CD6">
        <w:rPr>
          <w:rFonts w:ascii="Times New Roman" w:hAnsi="Times New Roman" w:cs="Times New Roman"/>
          <w:sz w:val="24"/>
          <w:szCs w:val="24"/>
        </w:rPr>
        <w:t xml:space="preserve">values of the variable. More precisely, if </w:t>
      </w:r>
      <w:r w:rsidR="00C05CD6">
        <w:rPr>
          <w:rFonts w:ascii="Times New Roman" w:hAnsi="Times New Roman" w:cs="Times New Roman"/>
          <w:i/>
          <w:sz w:val="24"/>
          <w:szCs w:val="24"/>
        </w:rPr>
        <w:t>m</w:t>
      </w:r>
      <w:r w:rsidR="00C05CD6">
        <w:rPr>
          <w:rFonts w:ascii="Times New Roman" w:hAnsi="Times New Roman" w:cs="Times New Roman"/>
          <w:sz w:val="24"/>
          <w:szCs w:val="24"/>
        </w:rPr>
        <w:t xml:space="preserve"> = min(income) = $5,014.21 and </w:t>
      </w:r>
      <w:r w:rsidR="00C05CD6">
        <w:rPr>
          <w:rFonts w:ascii="Times New Roman" w:hAnsi="Times New Roman" w:cs="Times New Roman"/>
          <w:i/>
          <w:sz w:val="24"/>
          <w:szCs w:val="24"/>
        </w:rPr>
        <w:t>M</w:t>
      </w:r>
      <w:r w:rsidR="00C05CD6">
        <w:rPr>
          <w:rFonts w:ascii="Times New Roman" w:hAnsi="Times New Roman" w:cs="Times New Roman"/>
          <w:sz w:val="24"/>
          <w:szCs w:val="24"/>
        </w:rPr>
        <w:t xml:space="preserve"> = max(income) = $63,130.10, then the income variable has a range of </w:t>
      </w:r>
      <w:r w:rsidR="00DF1E59">
        <w:rPr>
          <w:rFonts w:ascii="Times New Roman" w:hAnsi="Times New Roman" w:cs="Times New Roman"/>
          <w:i/>
          <w:sz w:val="24"/>
          <w:szCs w:val="24"/>
        </w:rPr>
        <w:t>M</w:t>
      </w:r>
      <w:r w:rsidR="00C05CD6">
        <w:rPr>
          <w:rFonts w:ascii="Times New Roman" w:hAnsi="Times New Roman" w:cs="Times New Roman"/>
          <w:sz w:val="24"/>
          <w:szCs w:val="24"/>
        </w:rPr>
        <w:t xml:space="preserve"> – </w:t>
      </w:r>
      <w:r w:rsidR="00DF1E59">
        <w:rPr>
          <w:rFonts w:ascii="Times New Roman" w:hAnsi="Times New Roman" w:cs="Times New Roman"/>
          <w:i/>
          <w:sz w:val="24"/>
          <w:szCs w:val="24"/>
        </w:rPr>
        <w:t>m</w:t>
      </w:r>
      <w:r w:rsidR="00C05CD6">
        <w:rPr>
          <w:rFonts w:ascii="Times New Roman" w:hAnsi="Times New Roman" w:cs="Times New Roman"/>
          <w:sz w:val="24"/>
          <w:szCs w:val="24"/>
        </w:rPr>
        <w:t>= $58,115.89, and the resulting interval size by which the income values are subdivided is $58,115.89/3 = $19,371.96. Any client whose income was less than $19,371.96 was identified as “tier 1” income, likewise any client whose income was between $19,371.97 and $38,743.96 was “tier 2” and anyone whose income was above $38,743.97 was “tier 3”.</w:t>
      </w:r>
    </w:p>
    <w:p w:rsidR="00C05CD6" w:rsidRDefault="00C05CD6" w:rsidP="00EE4539">
      <w:pPr>
        <w:rPr>
          <w:rFonts w:ascii="Times New Roman" w:hAnsi="Times New Roman" w:cs="Times New Roman"/>
          <w:sz w:val="24"/>
          <w:szCs w:val="24"/>
        </w:rPr>
      </w:pPr>
      <w:r>
        <w:rPr>
          <w:rFonts w:ascii="Times New Roman" w:hAnsi="Times New Roman" w:cs="Times New Roman"/>
          <w:sz w:val="24"/>
          <w:szCs w:val="24"/>
        </w:rPr>
        <w:tab/>
      </w:r>
      <w:r w:rsidR="009D3B4D">
        <w:rPr>
          <w:rFonts w:ascii="Times New Roman" w:hAnsi="Times New Roman" w:cs="Times New Roman"/>
          <w:sz w:val="24"/>
          <w:szCs w:val="24"/>
        </w:rPr>
        <w:t xml:space="preserve">The children variable needed to be converted </w:t>
      </w:r>
      <w:r w:rsidR="00DF1E59">
        <w:rPr>
          <w:rFonts w:ascii="Times New Roman" w:hAnsi="Times New Roman" w:cs="Times New Roman"/>
          <w:sz w:val="24"/>
          <w:szCs w:val="24"/>
        </w:rPr>
        <w:t>to</w:t>
      </w:r>
      <w:r w:rsidR="009D3B4D">
        <w:rPr>
          <w:rFonts w:ascii="Times New Roman" w:hAnsi="Times New Roman" w:cs="Times New Roman"/>
          <w:sz w:val="24"/>
          <w:szCs w:val="24"/>
        </w:rPr>
        <w:t xml:space="preserve"> an ordinal variable to a nominal variable, in other words the numbers needed to be… not numbers insofar as no calculation was to be done with the values, so the number was merely a label for a category. A value of 0 in the children column was relabeled as “No kids”, a 1 as “1 kid”, etc. Finally, each of the remaining variables with yes/no response options were recoded to reflect what the yeses and noes were indicating. For example, </w:t>
      </w:r>
      <w:r w:rsidR="004A5915">
        <w:rPr>
          <w:rFonts w:ascii="Times New Roman" w:hAnsi="Times New Roman" w:cs="Times New Roman"/>
          <w:sz w:val="24"/>
          <w:szCs w:val="24"/>
        </w:rPr>
        <w:t xml:space="preserve">for the </w:t>
      </w:r>
      <w:r w:rsidR="009D3B4D">
        <w:rPr>
          <w:rFonts w:ascii="Times New Roman" w:hAnsi="Times New Roman" w:cs="Times New Roman"/>
          <w:sz w:val="24"/>
          <w:szCs w:val="24"/>
        </w:rPr>
        <w:t xml:space="preserve">save_act </w:t>
      </w:r>
      <w:r w:rsidR="004A5915">
        <w:rPr>
          <w:rFonts w:ascii="Times New Roman" w:hAnsi="Times New Roman" w:cs="Times New Roman"/>
          <w:sz w:val="24"/>
          <w:szCs w:val="24"/>
        </w:rPr>
        <w:t>variable</w:t>
      </w:r>
      <w:r w:rsidR="009D3B4D">
        <w:rPr>
          <w:rFonts w:ascii="Times New Roman" w:hAnsi="Times New Roman" w:cs="Times New Roman"/>
          <w:sz w:val="24"/>
          <w:szCs w:val="24"/>
        </w:rPr>
        <w:t xml:space="preserve"> “yes” became “savings</w:t>
      </w:r>
      <w:r w:rsidR="004A5915">
        <w:rPr>
          <w:rFonts w:ascii="Times New Roman" w:hAnsi="Times New Roman" w:cs="Times New Roman"/>
          <w:sz w:val="24"/>
          <w:szCs w:val="24"/>
        </w:rPr>
        <w:t>” and “no” became “no savings”. Here is a small snapshot of the data before and after these trans</w:t>
      </w:r>
      <w:r w:rsidR="00345FCF">
        <w:rPr>
          <w:rFonts w:ascii="Times New Roman" w:hAnsi="Times New Roman" w:cs="Times New Roman"/>
          <w:sz w:val="24"/>
          <w:szCs w:val="24"/>
        </w:rPr>
        <w:t>f</w:t>
      </w:r>
      <w:r w:rsidR="004A5915">
        <w:rPr>
          <w:rFonts w:ascii="Times New Roman" w:hAnsi="Times New Roman" w:cs="Times New Roman"/>
          <w:sz w:val="24"/>
          <w:szCs w:val="24"/>
        </w:rPr>
        <w:t>ormations</w:t>
      </w:r>
      <w:r w:rsidR="00345FCF">
        <w:rPr>
          <w:rFonts w:ascii="Times New Roman" w:hAnsi="Times New Roman" w:cs="Times New Roman"/>
          <w:sz w:val="24"/>
          <w:szCs w:val="24"/>
        </w:rPr>
        <w:t>:</w:t>
      </w:r>
    </w:p>
    <w:p w:rsidR="004A5915" w:rsidRDefault="004A5915" w:rsidP="00EE4539">
      <w:pPr>
        <w:rPr>
          <w:rFonts w:ascii="Times New Roman" w:hAnsi="Times New Roman" w:cs="Times New Roman"/>
          <w:sz w:val="24"/>
          <w:szCs w:val="24"/>
        </w:rPr>
      </w:pPr>
      <w:r>
        <w:rPr>
          <w:noProof/>
        </w:rPr>
        <w:drawing>
          <wp:inline distT="0" distB="0" distL="0" distR="0" wp14:anchorId="21CB12C2" wp14:editId="0BE6C961">
            <wp:extent cx="5943600" cy="1901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1190"/>
                    </a:xfrm>
                    <a:prstGeom prst="rect">
                      <a:avLst/>
                    </a:prstGeom>
                  </pic:spPr>
                </pic:pic>
              </a:graphicData>
            </a:graphic>
          </wp:inline>
        </w:drawing>
      </w:r>
    </w:p>
    <w:p w:rsidR="00C730D2" w:rsidRPr="00C05CD6" w:rsidRDefault="00C730D2" w:rsidP="00EE4539">
      <w:pPr>
        <w:rPr>
          <w:rFonts w:ascii="Times New Roman" w:hAnsi="Times New Roman" w:cs="Times New Roman"/>
          <w:sz w:val="24"/>
          <w:szCs w:val="24"/>
        </w:rPr>
      </w:pPr>
      <w:r>
        <w:rPr>
          <w:noProof/>
        </w:rPr>
        <w:drawing>
          <wp:inline distT="0" distB="0" distL="0" distR="0" wp14:anchorId="14FB752E" wp14:editId="3CC30BAA">
            <wp:extent cx="5943600" cy="156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7815"/>
                    </a:xfrm>
                    <a:prstGeom prst="rect">
                      <a:avLst/>
                    </a:prstGeom>
                  </pic:spPr>
                </pic:pic>
              </a:graphicData>
            </a:graphic>
          </wp:inline>
        </w:drawing>
      </w:r>
    </w:p>
    <w:p w:rsidR="00C05CD6" w:rsidRDefault="00C730D2" w:rsidP="00EE4539">
      <w:pPr>
        <w:rPr>
          <w:rFonts w:ascii="Times New Roman" w:hAnsi="Times New Roman" w:cs="Times New Roman"/>
          <w:sz w:val="24"/>
          <w:szCs w:val="24"/>
        </w:rPr>
      </w:pPr>
      <w:r>
        <w:rPr>
          <w:rFonts w:ascii="Times New Roman" w:hAnsi="Times New Roman" w:cs="Times New Roman"/>
          <w:sz w:val="24"/>
          <w:szCs w:val="24"/>
        </w:rPr>
        <w:t>In this form, the data can be thought of as transaction data. Transaction data is exactly what it sounds like, a collection of transaction</w:t>
      </w:r>
      <w:r w:rsidR="001B5AEB">
        <w:rPr>
          <w:rFonts w:ascii="Times New Roman" w:hAnsi="Times New Roman" w:cs="Times New Roman"/>
          <w:sz w:val="24"/>
          <w:szCs w:val="24"/>
        </w:rPr>
        <w:t>s</w:t>
      </w:r>
      <w:r>
        <w:rPr>
          <w:rFonts w:ascii="Times New Roman" w:hAnsi="Times New Roman" w:cs="Times New Roman"/>
          <w:sz w:val="24"/>
          <w:szCs w:val="24"/>
        </w:rPr>
        <w:t xml:space="preserve"> where each instance is a separate collection of items</w:t>
      </w:r>
      <w:r w:rsidR="001B5AEB">
        <w:rPr>
          <w:rFonts w:ascii="Times New Roman" w:hAnsi="Times New Roman" w:cs="Times New Roman"/>
          <w:sz w:val="24"/>
          <w:szCs w:val="24"/>
        </w:rPr>
        <w:t>, but in this case instead of milk, eggs, and toilet paper the items in a transaction are demographics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example, the first “transaction” in the dataset </w:t>
      </w:r>
      <w:r w:rsidR="00A20E9F">
        <w:rPr>
          <w:rFonts w:ascii="Times New Roman" w:hAnsi="Times New Roman" w:cs="Times New Roman"/>
          <w:sz w:val="24"/>
          <w:szCs w:val="24"/>
        </w:rPr>
        <w:t>i</w:t>
      </w:r>
      <w:r w:rsidR="00DF1E59">
        <w:rPr>
          <w:rFonts w:ascii="Times New Roman" w:hAnsi="Times New Roman" w:cs="Times New Roman"/>
          <w:sz w:val="24"/>
          <w:szCs w:val="24"/>
        </w:rPr>
        <w:t>s</w:t>
      </w:r>
      <w:r w:rsidR="00A20E9F">
        <w:rPr>
          <w:rFonts w:ascii="Times New Roman" w:hAnsi="Times New Roman" w:cs="Times New Roman"/>
          <w:sz w:val="24"/>
          <w:szCs w:val="24"/>
        </w:rPr>
        <w:t xml:space="preserve"> for a</w:t>
      </w:r>
      <w:r w:rsidR="00345FCF">
        <w:rPr>
          <w:rFonts w:ascii="Times New Roman" w:hAnsi="Times New Roman" w:cs="Times New Roman"/>
          <w:sz w:val="24"/>
          <w:szCs w:val="24"/>
        </w:rPr>
        <w:t xml:space="preserve"> single</w:t>
      </w:r>
      <w:r w:rsidR="00A20E9F">
        <w:rPr>
          <w:rFonts w:ascii="Times New Roman" w:hAnsi="Times New Roman" w:cs="Times New Roman"/>
          <w:sz w:val="24"/>
          <w:szCs w:val="24"/>
        </w:rPr>
        <w:t xml:space="preserve"> </w:t>
      </w:r>
      <w:r w:rsidR="00345FCF">
        <w:rPr>
          <w:rFonts w:ascii="Times New Roman" w:hAnsi="Times New Roman" w:cs="Times New Roman"/>
          <w:sz w:val="24"/>
          <w:szCs w:val="24"/>
        </w:rPr>
        <w:t>mother of one</w:t>
      </w:r>
      <w:r w:rsidR="00A20E9F">
        <w:rPr>
          <w:rFonts w:ascii="Times New Roman" w:hAnsi="Times New Roman" w:cs="Times New Roman"/>
          <w:sz w:val="24"/>
          <w:szCs w:val="24"/>
        </w:rPr>
        <w:t xml:space="preserve"> in her forties who lives in the inner city, </w:t>
      </w:r>
      <w:r w:rsidR="00345FCF">
        <w:rPr>
          <w:rFonts w:ascii="Times New Roman" w:hAnsi="Times New Roman" w:cs="Times New Roman"/>
          <w:sz w:val="24"/>
          <w:szCs w:val="24"/>
        </w:rPr>
        <w:t xml:space="preserve">is in the low-income bracket, with no car, savings, mortgage, or current account, but did buy a PEP. The goal of association rule analysis (again, more on this in section 1.2) is to find which sub-collections of items or in this case characteristics lead to others, and having the data configured in this way allows for this to be done without losing context. </w:t>
      </w:r>
    </w:p>
    <w:p w:rsidR="00345FCF" w:rsidRDefault="00345FCF" w:rsidP="00EE4539">
      <w:pPr>
        <w:rPr>
          <w:rFonts w:ascii="Times New Roman" w:hAnsi="Times New Roman" w:cs="Times New Roman"/>
          <w:sz w:val="24"/>
          <w:szCs w:val="24"/>
        </w:rPr>
      </w:pPr>
      <w:r>
        <w:rPr>
          <w:rFonts w:ascii="Times New Roman" w:hAnsi="Times New Roman" w:cs="Times New Roman"/>
          <w:sz w:val="24"/>
          <w:szCs w:val="24"/>
        </w:rPr>
        <w:tab/>
        <w:t xml:space="preserve">While categorical variables of this type do not necessarily have summary statistics, it is worthwhile to see the frequency of each characteristic, as seen in the plots </w:t>
      </w:r>
      <w:r w:rsidR="00E87019">
        <w:rPr>
          <w:rFonts w:ascii="Times New Roman" w:hAnsi="Times New Roman" w:cs="Times New Roman"/>
          <w:sz w:val="24"/>
          <w:szCs w:val="24"/>
        </w:rPr>
        <w:t>below</w:t>
      </w:r>
      <w:r>
        <w:rPr>
          <w:rFonts w:ascii="Times New Roman" w:hAnsi="Times New Roman" w:cs="Times New Roman"/>
          <w:sz w:val="24"/>
          <w:szCs w:val="24"/>
        </w:rPr>
        <w:t>. While some interesting observations can be made (say, for example, that there was a roughly equal number of men and women in the dataset, or that there were more inner</w:t>
      </w:r>
      <w:r w:rsidR="001B5AEB">
        <w:rPr>
          <w:rFonts w:ascii="Times New Roman" w:hAnsi="Times New Roman" w:cs="Times New Roman"/>
          <w:sz w:val="24"/>
          <w:szCs w:val="24"/>
        </w:rPr>
        <w:t>-</w:t>
      </w:r>
      <w:r>
        <w:rPr>
          <w:rFonts w:ascii="Times New Roman" w:hAnsi="Times New Roman" w:cs="Times New Roman"/>
          <w:sz w:val="24"/>
          <w:szCs w:val="24"/>
        </w:rPr>
        <w:t>city resident</w:t>
      </w:r>
      <w:r w:rsidR="001B5AEB">
        <w:rPr>
          <w:rFonts w:ascii="Times New Roman" w:hAnsi="Times New Roman" w:cs="Times New Roman"/>
          <w:sz w:val="24"/>
          <w:szCs w:val="24"/>
        </w:rPr>
        <w:t>s</w:t>
      </w:r>
      <w:r>
        <w:rPr>
          <w:rFonts w:ascii="Times New Roman" w:hAnsi="Times New Roman" w:cs="Times New Roman"/>
          <w:sz w:val="24"/>
          <w:szCs w:val="24"/>
        </w:rPr>
        <w:t xml:space="preserve"> than suburbanites), it is which of these or combination of these most frequently led to PEP purchase that is of interest.</w:t>
      </w:r>
    </w:p>
    <w:p w:rsidR="00345FCF" w:rsidRPr="00EE4539" w:rsidRDefault="00345FCF" w:rsidP="00974E42">
      <w:pPr>
        <w:jc w:val="center"/>
        <w:rPr>
          <w:rFonts w:ascii="Times New Roman" w:hAnsi="Times New Roman" w:cs="Times New Roman"/>
          <w:sz w:val="24"/>
          <w:szCs w:val="24"/>
        </w:rPr>
      </w:pPr>
      <w:r>
        <w:rPr>
          <w:noProof/>
        </w:rPr>
        <w:drawing>
          <wp:inline distT="0" distB="0" distL="0" distR="0" wp14:anchorId="70DA76A4" wp14:editId="722AB00C">
            <wp:extent cx="5943600" cy="4220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0845"/>
                    </a:xfrm>
                    <a:prstGeom prst="rect">
                      <a:avLst/>
                    </a:prstGeom>
                  </pic:spPr>
                </pic:pic>
              </a:graphicData>
            </a:graphic>
          </wp:inline>
        </w:drawing>
      </w:r>
    </w:p>
    <w:p w:rsidR="005A536F" w:rsidRDefault="005A536F" w:rsidP="00782D64">
      <w:pPr>
        <w:rPr>
          <w:rFonts w:ascii="Times New Roman" w:hAnsi="Times New Roman" w:cs="Times New Roman"/>
          <w:sz w:val="24"/>
          <w:szCs w:val="24"/>
        </w:rPr>
      </w:pPr>
    </w:p>
    <w:p w:rsidR="00782D64" w:rsidRDefault="001B5AEB" w:rsidP="00782D64">
      <w:pPr>
        <w:rPr>
          <w:rFonts w:ascii="Times New Roman" w:hAnsi="Times New Roman" w:cs="Times New Roman"/>
          <w:b/>
          <w:sz w:val="24"/>
          <w:szCs w:val="24"/>
        </w:rPr>
      </w:pPr>
      <w:r>
        <w:rPr>
          <w:rFonts w:ascii="Times New Roman" w:hAnsi="Times New Roman" w:cs="Times New Roman"/>
          <w:b/>
          <w:sz w:val="24"/>
          <w:szCs w:val="24"/>
        </w:rPr>
        <w:t>Section 1.2: Analysis</w:t>
      </w:r>
    </w:p>
    <w:p w:rsidR="006B637C" w:rsidRDefault="00B35E77" w:rsidP="00782D64">
      <w:pPr>
        <w:rPr>
          <w:rFonts w:ascii="Times New Roman" w:hAnsi="Times New Roman" w:cs="Times New Roman"/>
          <w:sz w:val="24"/>
          <w:szCs w:val="24"/>
        </w:rPr>
      </w:pPr>
      <w:r w:rsidRPr="00B35E77">
        <w:rPr>
          <w:rFonts w:ascii="Times New Roman" w:hAnsi="Times New Roman" w:cs="Times New Roman"/>
          <w:sz w:val="24"/>
          <w:szCs w:val="24"/>
        </w:rPr>
        <w:tab/>
      </w:r>
      <w:r w:rsidR="006B637C">
        <w:rPr>
          <w:rFonts w:ascii="Times New Roman" w:hAnsi="Times New Roman" w:cs="Times New Roman"/>
          <w:sz w:val="24"/>
          <w:szCs w:val="24"/>
        </w:rPr>
        <w:t>Before getting to the meat of the analysis, a brief discussion of association rule mining i</w:t>
      </w:r>
      <w:r w:rsidR="00DF1E59">
        <w:rPr>
          <w:rFonts w:ascii="Times New Roman" w:hAnsi="Times New Roman" w:cs="Times New Roman"/>
          <w:sz w:val="24"/>
          <w:szCs w:val="24"/>
        </w:rPr>
        <w:t>s</w:t>
      </w:r>
      <w:r w:rsidR="006B637C">
        <w:rPr>
          <w:rFonts w:ascii="Times New Roman" w:hAnsi="Times New Roman" w:cs="Times New Roman"/>
          <w:sz w:val="24"/>
          <w:szCs w:val="24"/>
        </w:rPr>
        <w:t xml:space="preserve"> necessary for the benefit of those that are not familiar. </w:t>
      </w:r>
      <w:r w:rsidR="006B637C" w:rsidRPr="00B35E77">
        <w:rPr>
          <w:rFonts w:ascii="Times New Roman" w:hAnsi="Times New Roman" w:cs="Times New Roman"/>
          <w:sz w:val="24"/>
          <w:szCs w:val="24"/>
        </w:rPr>
        <w:t>As mentioned in</w:t>
      </w:r>
      <w:r w:rsidR="006B637C">
        <w:rPr>
          <w:rFonts w:ascii="Times New Roman" w:hAnsi="Times New Roman" w:cs="Times New Roman"/>
          <w:sz w:val="24"/>
          <w:szCs w:val="24"/>
        </w:rPr>
        <w:t xml:space="preserve"> section 1.1, association rule analysis was used to determine which demographic information led to PEP purchases.</w:t>
      </w:r>
    </w:p>
    <w:p w:rsidR="001B5AEB" w:rsidRPr="00D009E6" w:rsidRDefault="006B637C" w:rsidP="006B637C">
      <w:pPr>
        <w:ind w:firstLine="720"/>
        <w:rPr>
          <w:rFonts w:ascii="Times New Roman" w:hAnsi="Times New Roman" w:cs="Times New Roman"/>
          <w:sz w:val="24"/>
          <w:szCs w:val="24"/>
        </w:rPr>
      </w:pPr>
      <w:r>
        <w:rPr>
          <w:rFonts w:ascii="Times New Roman" w:hAnsi="Times New Roman" w:cs="Times New Roman"/>
          <w:sz w:val="24"/>
          <w:szCs w:val="24"/>
        </w:rPr>
        <w:t xml:space="preserve">An association rule is a relationship between one group of items (or in this case characteristics) to another. For example, there could be a relationship between the set {no kids, </w:t>
      </w:r>
      <w:r>
        <w:rPr>
          <w:rFonts w:ascii="Times New Roman" w:hAnsi="Times New Roman" w:cs="Times New Roman"/>
          <w:sz w:val="24"/>
          <w:szCs w:val="24"/>
        </w:rPr>
        <w:lastRenderedPageBreak/>
        <w:t>mortgage, car} and {married, PEP}. Each association rule, and each itemset, has three levels of measure that can help determine its quality</w:t>
      </w:r>
      <w:r w:rsidR="00D009E6">
        <w:rPr>
          <w:rFonts w:ascii="Times New Roman" w:hAnsi="Times New Roman" w:cs="Times New Roman"/>
          <w:sz w:val="24"/>
          <w:szCs w:val="24"/>
        </w:rPr>
        <w:t xml:space="preserve">. Suppose that </w:t>
      </w:r>
      <w:r w:rsidR="00D009E6">
        <w:rPr>
          <w:rFonts w:ascii="Times New Roman" w:hAnsi="Times New Roman" w:cs="Times New Roman"/>
          <w:i/>
          <w:sz w:val="24"/>
          <w:szCs w:val="24"/>
        </w:rPr>
        <w:t>I</w:t>
      </w:r>
      <w:r w:rsidR="00D009E6">
        <w:rPr>
          <w:rFonts w:ascii="Times New Roman" w:hAnsi="Times New Roman" w:cs="Times New Roman"/>
          <w:sz w:val="24"/>
          <w:szCs w:val="24"/>
        </w:rPr>
        <w:t xml:space="preserve"> is the set of all items, </w:t>
      </w:r>
      <w:r w:rsidR="00D009E6">
        <w:rPr>
          <w:rFonts w:ascii="Times New Roman" w:hAnsi="Times New Roman" w:cs="Times New Roman"/>
          <w:i/>
          <w:sz w:val="24"/>
          <w:szCs w:val="24"/>
        </w:rPr>
        <w:t>T</w:t>
      </w:r>
      <w:r w:rsidR="00D009E6">
        <w:rPr>
          <w:rFonts w:ascii="Times New Roman" w:hAnsi="Times New Roman" w:cs="Times New Roman"/>
          <w:sz w:val="24"/>
          <w:szCs w:val="24"/>
        </w:rPr>
        <w:t xml:space="preserve"> is the set of all transactions, and </w:t>
      </w:r>
      <w:r w:rsidR="00D009E6">
        <w:rPr>
          <w:rFonts w:ascii="Times New Roman" w:hAnsi="Times New Roman" w:cs="Times New Roman"/>
          <w:i/>
          <w:sz w:val="24"/>
          <w:szCs w:val="24"/>
        </w:rPr>
        <w:t>X</w:t>
      </w:r>
      <w:r w:rsidR="00D009E6">
        <w:rPr>
          <w:rFonts w:ascii="Times New Roman" w:hAnsi="Times New Roman" w:cs="Times New Roman"/>
          <w:sz w:val="24"/>
          <w:szCs w:val="24"/>
        </w:rPr>
        <w:t xml:space="preserve"> and </w:t>
      </w:r>
      <w:r w:rsidR="00D009E6">
        <w:rPr>
          <w:rFonts w:ascii="Times New Roman" w:hAnsi="Times New Roman" w:cs="Times New Roman"/>
          <w:i/>
          <w:sz w:val="24"/>
          <w:szCs w:val="24"/>
        </w:rPr>
        <w:t>Y</w:t>
      </w:r>
      <w:r w:rsidR="00D009E6">
        <w:rPr>
          <w:rFonts w:ascii="Times New Roman" w:hAnsi="Times New Roman" w:cs="Times New Roman"/>
          <w:sz w:val="24"/>
          <w:szCs w:val="24"/>
        </w:rPr>
        <w:t xml:space="preserve"> are subsets of </w:t>
      </w:r>
      <w:r w:rsidR="00D009E6">
        <w:rPr>
          <w:rFonts w:ascii="Times New Roman" w:hAnsi="Times New Roman" w:cs="Times New Roman"/>
          <w:i/>
          <w:sz w:val="24"/>
          <w:szCs w:val="24"/>
        </w:rPr>
        <w:t>I</w:t>
      </w:r>
      <w:r w:rsidR="00D009E6">
        <w:rPr>
          <w:rFonts w:ascii="Times New Roman" w:hAnsi="Times New Roman" w:cs="Times New Roman"/>
          <w:sz w:val="24"/>
          <w:szCs w:val="24"/>
        </w:rPr>
        <w:t>. Then define</w:t>
      </w:r>
    </w:p>
    <w:p w:rsidR="006B637C" w:rsidRDefault="006B637C" w:rsidP="006B63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Support – this is the probability that the rule occurs</w:t>
      </w:r>
    </w:p>
    <w:p w:rsidR="00D009E6" w:rsidRDefault="00D009E6" w:rsidP="00D009E6">
      <w:pPr>
        <w:pStyle w:val="ListParagraph"/>
        <w:ind w:left="1080"/>
        <w:jc w:val="center"/>
        <w:rPr>
          <w:rFonts w:ascii="Times New Roman" w:hAnsi="Times New Roman" w:cs="Times New Roman"/>
          <w:sz w:val="24"/>
          <w:szCs w:val="24"/>
        </w:rPr>
      </w:pPr>
      <w:r>
        <w:rPr>
          <w:noProof/>
        </w:rPr>
        <w:drawing>
          <wp:inline distT="0" distB="0" distL="0" distR="0" wp14:anchorId="4D11ABF8" wp14:editId="7E9FC390">
            <wp:extent cx="2255693"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5962" cy="394558"/>
                    </a:xfrm>
                    <a:prstGeom prst="rect">
                      <a:avLst/>
                    </a:prstGeom>
                  </pic:spPr>
                </pic:pic>
              </a:graphicData>
            </a:graphic>
          </wp:inline>
        </w:drawing>
      </w:r>
    </w:p>
    <w:p w:rsidR="00D009E6" w:rsidRDefault="00D009E6" w:rsidP="006B63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Confidence – this is the probability of the resulting set being in the transaction given that the original set is</w:t>
      </w:r>
    </w:p>
    <w:p w:rsidR="001D7633" w:rsidRDefault="001D7633" w:rsidP="001D7633">
      <w:pPr>
        <w:pStyle w:val="ListParagraph"/>
        <w:ind w:left="1080"/>
        <w:jc w:val="center"/>
        <w:rPr>
          <w:rFonts w:ascii="Times New Roman" w:hAnsi="Times New Roman" w:cs="Times New Roman"/>
          <w:sz w:val="24"/>
          <w:szCs w:val="24"/>
        </w:rPr>
      </w:pPr>
      <w:r>
        <w:rPr>
          <w:noProof/>
        </w:rPr>
        <w:drawing>
          <wp:inline distT="0" distB="0" distL="0" distR="0" wp14:anchorId="404CDBDC" wp14:editId="5D497F60">
            <wp:extent cx="2258568" cy="38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8568" cy="385372"/>
                    </a:xfrm>
                    <a:prstGeom prst="rect">
                      <a:avLst/>
                    </a:prstGeom>
                  </pic:spPr>
                </pic:pic>
              </a:graphicData>
            </a:graphic>
          </wp:inline>
        </w:drawing>
      </w:r>
    </w:p>
    <w:p w:rsidR="00D009E6" w:rsidRDefault="00D009E6" w:rsidP="006B63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Lift – this compares the probability of them occurring together to the probability of them both occurring but separately</w:t>
      </w:r>
    </w:p>
    <w:p w:rsidR="006B637C" w:rsidRDefault="001D7633" w:rsidP="001D7633">
      <w:pPr>
        <w:pStyle w:val="ListParagraph"/>
        <w:ind w:left="1080"/>
        <w:jc w:val="center"/>
        <w:rPr>
          <w:rFonts w:ascii="Times New Roman" w:hAnsi="Times New Roman" w:cs="Times New Roman"/>
          <w:sz w:val="24"/>
          <w:szCs w:val="24"/>
        </w:rPr>
      </w:pPr>
      <w:r>
        <w:rPr>
          <w:noProof/>
        </w:rPr>
        <w:drawing>
          <wp:inline distT="0" distB="0" distL="0" distR="0" wp14:anchorId="4164405A" wp14:editId="53614FBA">
            <wp:extent cx="2258568" cy="481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8568" cy="481606"/>
                    </a:xfrm>
                    <a:prstGeom prst="rect">
                      <a:avLst/>
                    </a:prstGeom>
                  </pic:spPr>
                </pic:pic>
              </a:graphicData>
            </a:graphic>
          </wp:inline>
        </w:drawing>
      </w:r>
    </w:p>
    <w:p w:rsidR="001D7633" w:rsidRDefault="001D7633" w:rsidP="001D7633">
      <w:pPr>
        <w:rPr>
          <w:rFonts w:ascii="Times New Roman" w:hAnsi="Times New Roman" w:cs="Times New Roman"/>
          <w:sz w:val="24"/>
          <w:szCs w:val="24"/>
        </w:rPr>
      </w:pPr>
      <w:r>
        <w:rPr>
          <w:rFonts w:ascii="Times New Roman" w:hAnsi="Times New Roman" w:cs="Times New Roman"/>
          <w:sz w:val="24"/>
          <w:szCs w:val="24"/>
        </w:rPr>
        <w:t>The main technique is to look for rules that have high levels of these measures. However</w:t>
      </w:r>
      <w:r w:rsidR="00440F1C">
        <w:rPr>
          <w:rFonts w:ascii="Times New Roman" w:hAnsi="Times New Roman" w:cs="Times New Roman"/>
          <w:sz w:val="24"/>
          <w:szCs w:val="24"/>
        </w:rPr>
        <w:t>,</w:t>
      </w:r>
      <w:r>
        <w:rPr>
          <w:rFonts w:ascii="Times New Roman" w:hAnsi="Times New Roman" w:cs="Times New Roman"/>
          <w:sz w:val="24"/>
          <w:szCs w:val="24"/>
        </w:rPr>
        <w:t xml:space="preserve"> there is no rule for what is “high” in this case, so different thresholds are set and used to see what interesting (translated: sufficiently high support, confidence, and/or lift)</w:t>
      </w:r>
      <w:r w:rsidR="00440F1C">
        <w:rPr>
          <w:rFonts w:ascii="Times New Roman" w:hAnsi="Times New Roman" w:cs="Times New Roman"/>
          <w:sz w:val="24"/>
          <w:szCs w:val="24"/>
        </w:rPr>
        <w:t xml:space="preserve"> are determined. </w:t>
      </w:r>
    </w:p>
    <w:p w:rsidR="00440F1C" w:rsidRDefault="00440F1C" w:rsidP="001D7633">
      <w:pPr>
        <w:rPr>
          <w:rFonts w:ascii="Times New Roman" w:hAnsi="Times New Roman" w:cs="Times New Roman"/>
          <w:sz w:val="24"/>
          <w:szCs w:val="24"/>
        </w:rPr>
      </w:pPr>
      <w:r>
        <w:rPr>
          <w:rFonts w:ascii="Times New Roman" w:hAnsi="Times New Roman" w:cs="Times New Roman"/>
          <w:sz w:val="24"/>
          <w:szCs w:val="24"/>
        </w:rPr>
        <w:tab/>
      </w:r>
      <w:r w:rsidR="00180D43">
        <w:rPr>
          <w:rFonts w:ascii="Times New Roman" w:hAnsi="Times New Roman" w:cs="Times New Roman"/>
          <w:sz w:val="24"/>
          <w:szCs w:val="24"/>
        </w:rPr>
        <w:t>To get an idea of where to</w:t>
      </w:r>
      <w:r>
        <w:rPr>
          <w:rFonts w:ascii="Times New Roman" w:hAnsi="Times New Roman" w:cs="Times New Roman"/>
          <w:sz w:val="24"/>
          <w:szCs w:val="24"/>
        </w:rPr>
        <w:t xml:space="preserve"> </w:t>
      </w:r>
      <w:r w:rsidR="00180D43">
        <w:rPr>
          <w:rFonts w:ascii="Times New Roman" w:hAnsi="Times New Roman" w:cs="Times New Roman"/>
          <w:sz w:val="24"/>
          <w:szCs w:val="24"/>
        </w:rPr>
        <w:t xml:space="preserve">start the search </w:t>
      </w:r>
      <w:r w:rsidR="009336B1">
        <w:rPr>
          <w:rFonts w:ascii="Times New Roman" w:hAnsi="Times New Roman" w:cs="Times New Roman"/>
          <w:sz w:val="24"/>
          <w:szCs w:val="24"/>
        </w:rPr>
        <w:t>for good support and confidence thresholds, a number of rule sets were generated with varying levels of support and confidence. Table 3</w:t>
      </w:r>
      <w:r w:rsidR="00E57905">
        <w:rPr>
          <w:rStyle w:val="FootnoteReference"/>
          <w:rFonts w:ascii="Times New Roman" w:hAnsi="Times New Roman" w:cs="Times New Roman"/>
          <w:sz w:val="24"/>
          <w:szCs w:val="24"/>
        </w:rPr>
        <w:footnoteReference w:id="1"/>
      </w:r>
      <w:r w:rsidR="009336B1">
        <w:rPr>
          <w:rFonts w:ascii="Times New Roman" w:hAnsi="Times New Roman" w:cs="Times New Roman"/>
          <w:sz w:val="24"/>
          <w:szCs w:val="24"/>
        </w:rPr>
        <w:t xml:space="preserve"> shows how many rules were generated when support and confidence ranged from 0.9 to 0.1</w:t>
      </w:r>
      <w:r w:rsidR="00FB2BCC">
        <w:rPr>
          <w:rFonts w:ascii="Times New Roman" w:hAnsi="Times New Roman" w:cs="Times New Roman"/>
          <w:sz w:val="24"/>
          <w:szCs w:val="24"/>
        </w:rPr>
        <w:t>.</w:t>
      </w:r>
    </w:p>
    <w:p w:rsidR="00FB2BCC" w:rsidRDefault="00FB2BCC" w:rsidP="00FB2BCC">
      <w:pPr>
        <w:jc w:val="center"/>
        <w:rPr>
          <w:rFonts w:ascii="Times New Roman" w:hAnsi="Times New Roman" w:cs="Times New Roman"/>
          <w:sz w:val="24"/>
          <w:szCs w:val="24"/>
        </w:rPr>
      </w:pPr>
      <w:r>
        <w:rPr>
          <w:noProof/>
        </w:rPr>
        <w:drawing>
          <wp:inline distT="0" distB="0" distL="0" distR="0" wp14:anchorId="7D0604A8" wp14:editId="683599A7">
            <wp:extent cx="3230833" cy="1809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080" cy="1833414"/>
                    </a:xfrm>
                    <a:prstGeom prst="rect">
                      <a:avLst/>
                    </a:prstGeom>
                  </pic:spPr>
                </pic:pic>
              </a:graphicData>
            </a:graphic>
          </wp:inline>
        </w:drawing>
      </w:r>
    </w:p>
    <w:p w:rsidR="00FB2BCC" w:rsidRDefault="00FB2BCC" w:rsidP="00FB2BCC">
      <w:pPr>
        <w:rPr>
          <w:rFonts w:ascii="Times New Roman" w:hAnsi="Times New Roman" w:cs="Times New Roman"/>
          <w:sz w:val="24"/>
          <w:szCs w:val="24"/>
        </w:rPr>
      </w:pPr>
      <w:r>
        <w:rPr>
          <w:rFonts w:ascii="Times New Roman" w:hAnsi="Times New Roman" w:cs="Times New Roman"/>
          <w:sz w:val="24"/>
          <w:szCs w:val="24"/>
        </w:rPr>
        <w:t xml:space="preserve">From these values, </w:t>
      </w:r>
      <w:r w:rsidR="00BB675C">
        <w:rPr>
          <w:rFonts w:ascii="Times New Roman" w:hAnsi="Times New Roman" w:cs="Times New Roman"/>
          <w:sz w:val="24"/>
          <w:szCs w:val="24"/>
        </w:rPr>
        <w:t xml:space="preserve">it is clear that the search can be limited to support values below 0.5. However, to get a decent collection the support should be set closer to 0.2 to allow for higher confidence levels. </w:t>
      </w:r>
      <w:r w:rsidR="00E57905">
        <w:rPr>
          <w:rFonts w:ascii="Times New Roman" w:hAnsi="Times New Roman" w:cs="Times New Roman"/>
          <w:sz w:val="24"/>
          <w:szCs w:val="24"/>
        </w:rPr>
        <w:t>As an example of what can be learned from this, there is a rule with 0.21 support and 0.74 confidence indicating that living in town is correlated to a savings account, with lift greater than 1. However, there is another rule with identical support and confidence relating town to current account, but with lift less than 1, which indicates that living in town actually reduces the likelihood that a client has a savings account. This is why lift is important, so that seemingly good rules are not relied on to determine implications.</w:t>
      </w:r>
    </w:p>
    <w:p w:rsidR="00E57905" w:rsidRDefault="00E57905" w:rsidP="00FB2BCC">
      <w:pPr>
        <w:rPr>
          <w:rFonts w:ascii="Times New Roman" w:hAnsi="Times New Roman" w:cs="Times New Roman"/>
          <w:sz w:val="24"/>
          <w:szCs w:val="24"/>
        </w:rPr>
      </w:pPr>
      <w:r>
        <w:rPr>
          <w:rFonts w:ascii="Times New Roman" w:hAnsi="Times New Roman" w:cs="Times New Roman"/>
          <w:sz w:val="24"/>
          <w:szCs w:val="24"/>
        </w:rPr>
        <w:lastRenderedPageBreak/>
        <w:tab/>
      </w:r>
      <w:r w:rsidR="0089410F">
        <w:rPr>
          <w:rFonts w:ascii="Times New Roman" w:hAnsi="Times New Roman" w:cs="Times New Roman"/>
          <w:sz w:val="24"/>
          <w:szCs w:val="24"/>
        </w:rPr>
        <w:t xml:space="preserve">Consider further the 96 rules with support greater than 0.2 and confidence greater than </w:t>
      </w:r>
      <w:r w:rsidR="007E5021">
        <w:rPr>
          <w:rFonts w:ascii="Times New Roman" w:hAnsi="Times New Roman" w:cs="Times New Roman"/>
          <w:sz w:val="24"/>
          <w:szCs w:val="24"/>
        </w:rPr>
        <w:t xml:space="preserve">0.7. The following plot </w:t>
      </w:r>
      <w:r w:rsidR="004220D0">
        <w:rPr>
          <w:rFonts w:ascii="Times New Roman" w:hAnsi="Times New Roman" w:cs="Times New Roman"/>
          <w:sz w:val="24"/>
          <w:szCs w:val="24"/>
        </w:rPr>
        <w:t xml:space="preserve">groups the rules by which item appears as the consequent (right hand side, or the </w:t>
      </w:r>
      <w:r w:rsidR="004220D0">
        <w:rPr>
          <w:rFonts w:ascii="Times New Roman" w:hAnsi="Times New Roman" w:cs="Times New Roman"/>
          <w:i/>
          <w:sz w:val="24"/>
          <w:szCs w:val="24"/>
        </w:rPr>
        <w:t>Y</w:t>
      </w:r>
      <w:r w:rsidR="004220D0">
        <w:rPr>
          <w:rFonts w:ascii="Times New Roman" w:hAnsi="Times New Roman" w:cs="Times New Roman"/>
          <w:sz w:val="24"/>
          <w:szCs w:val="24"/>
        </w:rPr>
        <w:t xml:space="preserve"> in the rule </w:t>
      </w:r>
      <w:r w:rsidR="004220D0">
        <w:rPr>
          <w:rFonts w:ascii="Times New Roman" w:hAnsi="Times New Roman" w:cs="Times New Roman"/>
          <w:i/>
          <w:sz w:val="24"/>
          <w:szCs w:val="24"/>
        </w:rPr>
        <w:t xml:space="preserve">X </w:t>
      </w:r>
      <w:r w:rsidR="004220D0">
        <w:rPr>
          <w:rFonts w:ascii="Times New Roman" w:hAnsi="Times New Roman" w:cs="Times New Roman"/>
          <w:sz w:val="24"/>
          <w:szCs w:val="24"/>
        </w:rPr>
        <w:t xml:space="preserve">-&gt; </w:t>
      </w:r>
      <w:r w:rsidR="004220D0">
        <w:rPr>
          <w:rFonts w:ascii="Times New Roman" w:hAnsi="Times New Roman" w:cs="Times New Roman"/>
          <w:i/>
          <w:sz w:val="24"/>
          <w:szCs w:val="24"/>
        </w:rPr>
        <w:t>Y</w:t>
      </w:r>
      <w:r w:rsidR="004220D0">
        <w:rPr>
          <w:rFonts w:ascii="Times New Roman" w:hAnsi="Times New Roman" w:cs="Times New Roman"/>
          <w:sz w:val="24"/>
          <w:szCs w:val="24"/>
        </w:rPr>
        <w:t>) for each rule. The five possible consequents are Current account, Savings account, No Mortgage, Married, and no PEP, in that order. There are no indicators, but that’s ok, as the interest here is in which items appeared as consequents. Notice that No PEP only appeared twice, but with very high lift</w:t>
      </w:r>
      <w:r w:rsidR="00CF001B">
        <w:rPr>
          <w:rFonts w:ascii="Times New Roman" w:hAnsi="Times New Roman" w:cs="Times New Roman"/>
          <w:sz w:val="24"/>
          <w:szCs w:val="24"/>
        </w:rPr>
        <w:t xml:space="preserve"> in each instance. </w:t>
      </w:r>
    </w:p>
    <w:p w:rsidR="00141B08" w:rsidRDefault="00141B08" w:rsidP="00FB2BCC">
      <w:pPr>
        <w:rPr>
          <w:rFonts w:ascii="Times New Roman" w:hAnsi="Times New Roman" w:cs="Times New Roman"/>
          <w:sz w:val="24"/>
          <w:szCs w:val="24"/>
        </w:rPr>
      </w:pPr>
      <w:r>
        <w:rPr>
          <w:rFonts w:ascii="Times New Roman" w:hAnsi="Times New Roman" w:cs="Times New Roman"/>
          <w:sz w:val="24"/>
          <w:szCs w:val="24"/>
        </w:rPr>
        <w:tab/>
      </w:r>
    </w:p>
    <w:p w:rsidR="00141B08" w:rsidRDefault="00141B08" w:rsidP="00FB2BCC">
      <w:pPr>
        <w:rPr>
          <w:rFonts w:ascii="Times New Roman" w:hAnsi="Times New Roman" w:cs="Times New Roman"/>
          <w:sz w:val="24"/>
          <w:szCs w:val="24"/>
        </w:rPr>
      </w:pPr>
    </w:p>
    <w:p w:rsidR="004220D0" w:rsidRDefault="004220D0" w:rsidP="00974E42">
      <w:pPr>
        <w:jc w:val="center"/>
        <w:rPr>
          <w:rFonts w:ascii="Times New Roman" w:hAnsi="Times New Roman" w:cs="Times New Roman"/>
          <w:sz w:val="24"/>
          <w:szCs w:val="24"/>
        </w:rPr>
      </w:pPr>
      <w:r>
        <w:rPr>
          <w:noProof/>
        </w:rPr>
        <w:drawing>
          <wp:inline distT="0" distB="0" distL="0" distR="0" wp14:anchorId="2A189DD6" wp14:editId="64DD60C7">
            <wp:extent cx="5943600" cy="4220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20845"/>
                    </a:xfrm>
                    <a:prstGeom prst="rect">
                      <a:avLst/>
                    </a:prstGeom>
                  </pic:spPr>
                </pic:pic>
              </a:graphicData>
            </a:graphic>
          </wp:inline>
        </w:drawing>
      </w:r>
    </w:p>
    <w:p w:rsidR="00141B08" w:rsidRDefault="00141B08" w:rsidP="00141B0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From the outset, the goal of this study was to determine the demographic characteristics that were indicative of whether a client would purchase a PEP. To that end, the next step in the analysis was to focus the association rule mining to only those rules where PEP was the consequent or right-hand side.</w:t>
      </w:r>
      <w:r>
        <w:rPr>
          <w:rFonts w:ascii="Times New Roman" w:hAnsi="Times New Roman" w:cs="Times New Roman"/>
          <w:sz w:val="24"/>
          <w:szCs w:val="24"/>
        </w:rPr>
        <w:t xml:space="preserve"> A similar approach was taken to ascertain good starting points for support and confidence, but since there were no rules whatsoever with support greater than 0.</w:t>
      </w:r>
      <w:r w:rsidR="00974E42">
        <w:rPr>
          <w:rFonts w:ascii="Times New Roman" w:hAnsi="Times New Roman" w:cs="Times New Roman"/>
          <w:sz w:val="24"/>
          <w:szCs w:val="24"/>
        </w:rPr>
        <w:t>6</w:t>
      </w:r>
      <w:r>
        <w:rPr>
          <w:rFonts w:ascii="Times New Roman" w:hAnsi="Times New Roman" w:cs="Times New Roman"/>
          <w:sz w:val="24"/>
          <w:szCs w:val="24"/>
        </w:rPr>
        <w:t>, the search was limited to support values</w:t>
      </w:r>
      <w:r w:rsidR="00974E42">
        <w:rPr>
          <w:rFonts w:ascii="Times New Roman" w:hAnsi="Times New Roman" w:cs="Times New Roman"/>
          <w:sz w:val="24"/>
          <w:szCs w:val="24"/>
        </w:rPr>
        <w:t xml:space="preserve"> below 0.6. The number of rules generated for varying support and confidence levels with PEP as the focused consequent are in table 4.</w:t>
      </w:r>
    </w:p>
    <w:p w:rsidR="00974E42" w:rsidRDefault="00974E42" w:rsidP="00974E42">
      <w:pPr>
        <w:jc w:val="center"/>
        <w:rPr>
          <w:rFonts w:ascii="Times New Roman" w:hAnsi="Times New Roman" w:cs="Times New Roman"/>
          <w:sz w:val="24"/>
          <w:szCs w:val="24"/>
        </w:rPr>
      </w:pPr>
      <w:r>
        <w:rPr>
          <w:noProof/>
        </w:rPr>
        <w:lastRenderedPageBreak/>
        <w:drawing>
          <wp:inline distT="0" distB="0" distL="0" distR="0" wp14:anchorId="401E6B52" wp14:editId="177FCF44">
            <wp:extent cx="3167181"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693" cy="2115335"/>
                    </a:xfrm>
                    <a:prstGeom prst="rect">
                      <a:avLst/>
                    </a:prstGeom>
                  </pic:spPr>
                </pic:pic>
              </a:graphicData>
            </a:graphic>
          </wp:inline>
        </w:drawing>
      </w:r>
    </w:p>
    <w:p w:rsidR="00141B08" w:rsidRDefault="00974E42" w:rsidP="00FB2BCC">
      <w:pPr>
        <w:rPr>
          <w:rFonts w:ascii="Times New Roman" w:hAnsi="Times New Roman" w:cs="Times New Roman"/>
          <w:sz w:val="24"/>
          <w:szCs w:val="24"/>
        </w:rPr>
      </w:pPr>
      <w:r>
        <w:rPr>
          <w:rFonts w:ascii="Times New Roman" w:hAnsi="Times New Roman" w:cs="Times New Roman"/>
          <w:sz w:val="24"/>
          <w:szCs w:val="24"/>
        </w:rPr>
        <w:t xml:space="preserve">To get an idea of what the rules consisted of, consider the following plot showing each rule. The nodes are the characteristics themselves, and the arrows show the direction of the relationship. </w:t>
      </w:r>
    </w:p>
    <w:p w:rsidR="00141B08" w:rsidRDefault="00974E42" w:rsidP="00974E42">
      <w:pPr>
        <w:jc w:val="center"/>
        <w:rPr>
          <w:rFonts w:ascii="Times New Roman" w:hAnsi="Times New Roman" w:cs="Times New Roman"/>
          <w:b/>
          <w:sz w:val="24"/>
          <w:szCs w:val="24"/>
        </w:rPr>
      </w:pPr>
      <w:r>
        <w:rPr>
          <w:noProof/>
        </w:rPr>
        <w:drawing>
          <wp:inline distT="0" distB="0" distL="0" distR="0" wp14:anchorId="0B5292F9" wp14:editId="5387A3BD">
            <wp:extent cx="6243277" cy="5000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0476" cy="5022410"/>
                    </a:xfrm>
                    <a:prstGeom prst="rect">
                      <a:avLst/>
                    </a:prstGeom>
                  </pic:spPr>
                </pic:pic>
              </a:graphicData>
            </a:graphic>
          </wp:inline>
        </w:drawing>
      </w:r>
    </w:p>
    <w:p w:rsidR="00974E42" w:rsidRPr="00974E42" w:rsidRDefault="00974E42" w:rsidP="00FB2BCC">
      <w:pPr>
        <w:rPr>
          <w:rFonts w:ascii="Times New Roman" w:hAnsi="Times New Roman" w:cs="Times New Roman"/>
          <w:sz w:val="24"/>
          <w:szCs w:val="24"/>
        </w:rPr>
      </w:pPr>
      <w:r w:rsidRPr="00974E42">
        <w:rPr>
          <w:rFonts w:ascii="Times New Roman" w:hAnsi="Times New Roman" w:cs="Times New Roman"/>
          <w:sz w:val="24"/>
          <w:szCs w:val="24"/>
        </w:rPr>
        <w:t xml:space="preserve">This shows not only the complexity of how the </w:t>
      </w:r>
      <w:r w:rsidR="00DF6750">
        <w:rPr>
          <w:rFonts w:ascii="Times New Roman" w:hAnsi="Times New Roman" w:cs="Times New Roman"/>
          <w:sz w:val="24"/>
          <w:szCs w:val="24"/>
        </w:rPr>
        <w:t xml:space="preserve">demographic characteristics influence PEP purchases individually and as groups, but also </w:t>
      </w:r>
      <w:r w:rsidR="00AA2ADC">
        <w:rPr>
          <w:rFonts w:ascii="Times New Roman" w:hAnsi="Times New Roman" w:cs="Times New Roman"/>
          <w:sz w:val="24"/>
          <w:szCs w:val="24"/>
        </w:rPr>
        <w:t xml:space="preserve">quickly identifies the rules with high lift. </w:t>
      </w:r>
      <w:r w:rsidR="00FA507F">
        <w:rPr>
          <w:rFonts w:ascii="Times New Roman" w:hAnsi="Times New Roman" w:cs="Times New Roman"/>
          <w:sz w:val="24"/>
          <w:szCs w:val="24"/>
        </w:rPr>
        <w:t xml:space="preserve">Notice </w:t>
      </w:r>
      <w:r w:rsidR="00FA507F">
        <w:rPr>
          <w:rFonts w:ascii="Times New Roman" w:hAnsi="Times New Roman" w:cs="Times New Roman"/>
          <w:sz w:val="24"/>
          <w:szCs w:val="24"/>
        </w:rPr>
        <w:lastRenderedPageBreak/>
        <w:t xml:space="preserve">the cluster of high lift rules </w:t>
      </w:r>
      <w:r w:rsidR="00525E6C">
        <w:rPr>
          <w:rFonts w:ascii="Times New Roman" w:hAnsi="Times New Roman" w:cs="Times New Roman"/>
          <w:sz w:val="24"/>
          <w:szCs w:val="24"/>
        </w:rPr>
        <w:t xml:space="preserve">stemming from the </w:t>
      </w:r>
      <w:r w:rsidR="00FA507F">
        <w:rPr>
          <w:rFonts w:ascii="Times New Roman" w:hAnsi="Times New Roman" w:cs="Times New Roman"/>
          <w:sz w:val="24"/>
          <w:szCs w:val="24"/>
        </w:rPr>
        <w:t>1 kid characteristic.</w:t>
      </w:r>
      <w:r w:rsidR="00005536">
        <w:rPr>
          <w:rFonts w:ascii="Times New Roman" w:hAnsi="Times New Roman" w:cs="Times New Roman"/>
          <w:sz w:val="24"/>
          <w:szCs w:val="24"/>
        </w:rPr>
        <w:t xml:space="preserve"> </w:t>
      </w:r>
      <w:r w:rsidR="00005536">
        <w:rPr>
          <w:rFonts w:ascii="Times New Roman" w:hAnsi="Times New Roman" w:cs="Times New Roman"/>
          <w:sz w:val="24"/>
          <w:szCs w:val="24"/>
        </w:rPr>
        <w:t>Indeed 6 of the highest lift rules</w:t>
      </w:r>
      <w:r w:rsidR="00525E6C">
        <w:rPr>
          <w:rFonts w:ascii="Times New Roman" w:hAnsi="Times New Roman" w:cs="Times New Roman"/>
          <w:sz w:val="24"/>
          <w:szCs w:val="24"/>
        </w:rPr>
        <w:t xml:space="preserve"> have 1 kid in the antecedent (left-hand side).</w:t>
      </w:r>
      <w:r w:rsidR="00FA507F">
        <w:rPr>
          <w:rFonts w:ascii="Times New Roman" w:hAnsi="Times New Roman" w:cs="Times New Roman"/>
          <w:sz w:val="24"/>
          <w:szCs w:val="24"/>
        </w:rPr>
        <w:t xml:space="preserve"> </w:t>
      </w:r>
      <w:r w:rsidR="008A335A">
        <w:rPr>
          <w:rFonts w:ascii="Times New Roman" w:hAnsi="Times New Roman" w:cs="Times New Roman"/>
          <w:sz w:val="24"/>
          <w:szCs w:val="24"/>
        </w:rPr>
        <w:t>This begs further investigation, which is discussed in Section 2.</w:t>
      </w:r>
    </w:p>
    <w:p w:rsidR="00141B08" w:rsidRDefault="00141B08" w:rsidP="00E10AD8">
      <w:pPr>
        <w:jc w:val="center"/>
        <w:rPr>
          <w:rFonts w:ascii="Times New Roman" w:hAnsi="Times New Roman" w:cs="Times New Roman"/>
          <w:b/>
          <w:sz w:val="24"/>
          <w:szCs w:val="24"/>
        </w:rPr>
      </w:pPr>
      <w:r>
        <w:rPr>
          <w:rFonts w:ascii="Times New Roman" w:hAnsi="Times New Roman" w:cs="Times New Roman"/>
          <w:b/>
          <w:sz w:val="24"/>
          <w:szCs w:val="24"/>
        </w:rPr>
        <w:t xml:space="preserve">Section 2: </w:t>
      </w:r>
      <w:r w:rsidR="008A335A">
        <w:rPr>
          <w:rFonts w:ascii="Times New Roman" w:hAnsi="Times New Roman" w:cs="Times New Roman"/>
          <w:b/>
          <w:sz w:val="24"/>
          <w:szCs w:val="24"/>
        </w:rPr>
        <w:t>Results</w:t>
      </w:r>
    </w:p>
    <w:p w:rsidR="008A335A" w:rsidRDefault="008A335A" w:rsidP="00FB2BCC">
      <w:pPr>
        <w:rPr>
          <w:rFonts w:ascii="Times New Roman" w:hAnsi="Times New Roman" w:cs="Times New Roman"/>
          <w:sz w:val="24"/>
          <w:szCs w:val="24"/>
        </w:rPr>
      </w:pPr>
      <w:r>
        <w:rPr>
          <w:rFonts w:ascii="Times New Roman" w:hAnsi="Times New Roman" w:cs="Times New Roman"/>
          <w:sz w:val="24"/>
          <w:szCs w:val="24"/>
        </w:rPr>
        <w:tab/>
      </w:r>
      <w:r w:rsidR="004E6C8A">
        <w:rPr>
          <w:rFonts w:ascii="Times New Roman" w:hAnsi="Times New Roman" w:cs="Times New Roman"/>
          <w:sz w:val="24"/>
          <w:szCs w:val="24"/>
        </w:rPr>
        <w:t>As shown in section 1.2, there were 93 rules with PEP as the consequent. The most common rule was {Current} -&gt; {PEP}, occurring 211 times. This rule had support 0.35 and confidence 0.46, however its lift was only 1.02, indicating that while 211 of the 274 clients who did purchase a PEP have a current account, this is not a strong enough indicator</w:t>
      </w:r>
      <w:r w:rsidR="0073673E">
        <w:rPr>
          <w:rFonts w:ascii="Times New Roman" w:hAnsi="Times New Roman" w:cs="Times New Roman"/>
          <w:sz w:val="24"/>
          <w:szCs w:val="24"/>
        </w:rPr>
        <w:t xml:space="preserve"> on its own</w:t>
      </w:r>
      <w:r w:rsidR="004E6C8A">
        <w:rPr>
          <w:rFonts w:ascii="Times New Roman" w:hAnsi="Times New Roman" w:cs="Times New Roman"/>
          <w:sz w:val="24"/>
          <w:szCs w:val="24"/>
        </w:rPr>
        <w:t xml:space="preserve">. </w:t>
      </w:r>
      <w:r w:rsidR="00005536">
        <w:rPr>
          <w:rFonts w:ascii="Times New Roman" w:hAnsi="Times New Roman" w:cs="Times New Roman"/>
          <w:sz w:val="24"/>
          <w:szCs w:val="24"/>
        </w:rPr>
        <w:t xml:space="preserve">A better rule was {1 kid, current, savings} -&gt; {PEP}. This rule had support 0.11, confidence 0.86, and lift 1.89, and occurred 63 times. This is a much better indicator of PEP purchasing as it allows for better targeted marketing than just blasting all current account holders (though there is no harm in doing so). Somewhat surprisingly, the rule {married, no mortgage, savings} -&gt; {PEP} had support 0.11, confidence 0.35, and lift 0.76. A lift value less than 1 indicates effectively a negative correlation, </w:t>
      </w:r>
      <w:r w:rsidR="0073673E">
        <w:rPr>
          <w:rFonts w:ascii="Times New Roman" w:hAnsi="Times New Roman" w:cs="Times New Roman"/>
          <w:sz w:val="24"/>
          <w:szCs w:val="24"/>
        </w:rPr>
        <w:t xml:space="preserve">so </w:t>
      </w:r>
      <w:r w:rsidR="00DF1E59">
        <w:rPr>
          <w:rFonts w:ascii="Times New Roman" w:hAnsi="Times New Roman" w:cs="Times New Roman"/>
          <w:sz w:val="24"/>
          <w:szCs w:val="24"/>
        </w:rPr>
        <w:t>being married with a savings account and no mortgage actually has a negative effect on the likelihood of purchasing a PEP</w:t>
      </w:r>
      <w:r w:rsidR="00525E6C">
        <w:rPr>
          <w:rFonts w:ascii="Times New Roman" w:hAnsi="Times New Roman" w:cs="Times New Roman"/>
          <w:sz w:val="24"/>
          <w:szCs w:val="24"/>
        </w:rPr>
        <w:t>, t</w:t>
      </w:r>
      <w:r w:rsidR="00DF1E59">
        <w:rPr>
          <w:rFonts w:ascii="Times New Roman" w:hAnsi="Times New Roman" w:cs="Times New Roman"/>
          <w:sz w:val="24"/>
          <w:szCs w:val="24"/>
        </w:rPr>
        <w:t>hus</w:t>
      </w:r>
      <w:r w:rsidR="0073673E">
        <w:rPr>
          <w:rFonts w:ascii="Times New Roman" w:hAnsi="Times New Roman" w:cs="Times New Roman"/>
          <w:sz w:val="24"/>
          <w:szCs w:val="24"/>
        </w:rPr>
        <w:t xml:space="preserve"> it is recommended not to focus on this group.</w:t>
      </w:r>
      <w:r w:rsidR="00407CE4">
        <w:rPr>
          <w:rFonts w:ascii="Times New Roman" w:hAnsi="Times New Roman" w:cs="Times New Roman"/>
          <w:sz w:val="24"/>
          <w:szCs w:val="24"/>
        </w:rPr>
        <w:t xml:space="preserve"> In fact, {married} appears in 11 of the 20 rules with lowest lift, so it is additionally recommended to not focus on married individuals.</w:t>
      </w:r>
      <w:r w:rsidR="0073673E">
        <w:rPr>
          <w:rFonts w:ascii="Times New Roman" w:hAnsi="Times New Roman" w:cs="Times New Roman"/>
          <w:sz w:val="24"/>
          <w:szCs w:val="24"/>
        </w:rPr>
        <w:t xml:space="preserve"> </w:t>
      </w:r>
    </w:p>
    <w:p w:rsidR="0073673E" w:rsidRDefault="0073673E" w:rsidP="00FB2BCC">
      <w:pPr>
        <w:rPr>
          <w:rFonts w:ascii="Times New Roman" w:hAnsi="Times New Roman" w:cs="Times New Roman"/>
          <w:sz w:val="24"/>
          <w:szCs w:val="24"/>
        </w:rPr>
      </w:pPr>
      <w:r>
        <w:rPr>
          <w:rFonts w:ascii="Times New Roman" w:hAnsi="Times New Roman" w:cs="Times New Roman"/>
          <w:sz w:val="24"/>
          <w:szCs w:val="24"/>
        </w:rPr>
        <w:tab/>
        <w:t>Two complimentary rules arose, {single, no mortgage, savings} and {single, no mortgage, current}. These rules had support 0.11 and 0.12, confidence 0.74 and 0.72, and lift 1.63 and 1.57, respectively.</w:t>
      </w:r>
      <w:r w:rsidR="00525E6C">
        <w:rPr>
          <w:rFonts w:ascii="Times New Roman" w:hAnsi="Times New Roman" w:cs="Times New Roman"/>
          <w:sz w:val="24"/>
          <w:szCs w:val="24"/>
        </w:rPr>
        <w:t xml:space="preserve"> </w:t>
      </w:r>
      <w:r w:rsidR="00407CE4">
        <w:rPr>
          <w:rFonts w:ascii="Times New Roman" w:hAnsi="Times New Roman" w:cs="Times New Roman"/>
          <w:sz w:val="24"/>
          <w:szCs w:val="24"/>
        </w:rPr>
        <w:t xml:space="preserve">Moreover, even focusing just on single people with no mortgage produced support 0.15, confidence, 0.71, and lift 1.55. Clearly, unmarried people with no mortgage would be a good group to focus on. Indeed {single} was part of 10 of the 20 rules with the highest lift, so it very highly recommended that those clients who are not married are good target candidates for PEP purchases. </w:t>
      </w:r>
    </w:p>
    <w:p w:rsidR="00407CE4" w:rsidRDefault="00407CE4" w:rsidP="00E10AD8">
      <w:pPr>
        <w:jc w:val="center"/>
        <w:rPr>
          <w:rFonts w:ascii="Times New Roman" w:hAnsi="Times New Roman" w:cs="Times New Roman"/>
          <w:sz w:val="24"/>
          <w:szCs w:val="24"/>
        </w:rPr>
      </w:pPr>
      <w:r>
        <w:rPr>
          <w:rFonts w:ascii="Times New Roman" w:hAnsi="Times New Roman" w:cs="Times New Roman"/>
          <w:b/>
          <w:sz w:val="24"/>
          <w:szCs w:val="24"/>
        </w:rPr>
        <w:t>Section 3: Conclusions</w:t>
      </w:r>
    </w:p>
    <w:p w:rsidR="00407CE4" w:rsidRDefault="00407CE4" w:rsidP="00FB2BCC">
      <w:pPr>
        <w:rPr>
          <w:rFonts w:ascii="Times New Roman" w:hAnsi="Times New Roman" w:cs="Times New Roman"/>
          <w:sz w:val="24"/>
          <w:szCs w:val="24"/>
        </w:rPr>
      </w:pPr>
      <w:r>
        <w:rPr>
          <w:rFonts w:ascii="Times New Roman" w:hAnsi="Times New Roman" w:cs="Times New Roman"/>
          <w:sz w:val="24"/>
          <w:szCs w:val="24"/>
        </w:rPr>
        <w:tab/>
      </w:r>
      <w:r w:rsidR="00183154">
        <w:rPr>
          <w:rFonts w:ascii="Times New Roman" w:hAnsi="Times New Roman" w:cs="Times New Roman"/>
          <w:sz w:val="24"/>
          <w:szCs w:val="24"/>
        </w:rPr>
        <w:t xml:space="preserve">Obviously, not every one of the </w:t>
      </w:r>
      <w:r w:rsidR="00890EB3">
        <w:rPr>
          <w:rFonts w:ascii="Times New Roman" w:hAnsi="Times New Roman" w:cs="Times New Roman"/>
          <w:sz w:val="24"/>
          <w:szCs w:val="24"/>
        </w:rPr>
        <w:t xml:space="preserve">firm’s clients is a good candidate for PEP marketing. For example, it was shown in section 2 that married individuals are quite unlikely to purchase the PEP, whereas single individuals did have a high likelihood to purchase. </w:t>
      </w:r>
      <w:r w:rsidR="00E10AD8">
        <w:rPr>
          <w:rFonts w:ascii="Times New Roman" w:hAnsi="Times New Roman" w:cs="Times New Roman"/>
          <w:sz w:val="24"/>
          <w:szCs w:val="24"/>
        </w:rPr>
        <w:t>And while predicting human behavior always has uncertainty there are certain guidelines that this brief study has produced, summarized here</w:t>
      </w:r>
      <w:r w:rsidR="00E87019">
        <w:rPr>
          <w:rFonts w:ascii="Times New Roman" w:hAnsi="Times New Roman" w:cs="Times New Roman"/>
          <w:sz w:val="24"/>
          <w:szCs w:val="24"/>
        </w:rPr>
        <w:t>:</w:t>
      </w:r>
      <w:bookmarkStart w:id="0" w:name="_GoBack"/>
      <w:bookmarkEnd w:id="0"/>
    </w:p>
    <w:p w:rsidR="00E10AD8" w:rsidRDefault="00E10AD8" w:rsidP="00E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Individuals with 1 child are very likely to purchase the PEP, especially those with current accounts and savings accounts</w:t>
      </w:r>
    </w:p>
    <w:p w:rsidR="00E10AD8" w:rsidRDefault="005A349E" w:rsidP="00E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Married individuals are very unlikely to purchase the PEP</w:t>
      </w:r>
    </w:p>
    <w:p w:rsidR="005A349E" w:rsidRDefault="005A349E" w:rsidP="00E10AD8">
      <w:pPr>
        <w:pStyle w:val="ListParagraph"/>
        <w:numPr>
          <w:ilvl w:val="0"/>
          <w:numId w:val="3"/>
        </w:numPr>
        <w:rPr>
          <w:rFonts w:ascii="Times New Roman" w:hAnsi="Times New Roman" w:cs="Times New Roman"/>
          <w:sz w:val="24"/>
          <w:szCs w:val="24"/>
        </w:rPr>
      </w:pPr>
      <w:r w:rsidRPr="005A349E">
        <w:rPr>
          <w:rFonts w:ascii="Times New Roman" w:hAnsi="Times New Roman" w:cs="Times New Roman"/>
          <w:sz w:val="24"/>
          <w:szCs w:val="24"/>
        </w:rPr>
        <w:t xml:space="preserve">Single individuals, especially those with no mortgage should be </w:t>
      </w:r>
      <w:r>
        <w:rPr>
          <w:rFonts w:ascii="Times New Roman" w:hAnsi="Times New Roman" w:cs="Times New Roman"/>
          <w:sz w:val="24"/>
          <w:szCs w:val="24"/>
        </w:rPr>
        <w:t>targeted</w:t>
      </w:r>
    </w:p>
    <w:p w:rsidR="005339EE" w:rsidRDefault="005A349E" w:rsidP="005339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All current account holders should </w:t>
      </w:r>
      <w:r w:rsidR="005339EE">
        <w:rPr>
          <w:rFonts w:ascii="Times New Roman" w:hAnsi="Times New Roman" w:cs="Times New Roman"/>
          <w:sz w:val="24"/>
          <w:szCs w:val="24"/>
        </w:rPr>
        <w:t>receive future PEP marketing</w:t>
      </w:r>
    </w:p>
    <w:p w:rsidR="005339EE" w:rsidRPr="005339EE" w:rsidRDefault="005339EE" w:rsidP="005339EE">
      <w:pPr>
        <w:ind w:firstLine="720"/>
        <w:rPr>
          <w:rFonts w:ascii="Times New Roman" w:hAnsi="Times New Roman" w:cs="Times New Roman"/>
          <w:sz w:val="24"/>
          <w:szCs w:val="24"/>
        </w:rPr>
      </w:pPr>
      <w:r>
        <w:rPr>
          <w:rFonts w:ascii="Times New Roman" w:hAnsi="Times New Roman" w:cs="Times New Roman"/>
          <w:sz w:val="24"/>
          <w:szCs w:val="24"/>
        </w:rPr>
        <w:t xml:space="preserve">Now, it is important to note that this list is by no mean comprehensive. It would be interesting to see which clients responded to the mailer but ultimately did not purchase the PEP. This could provide further insight into which clients would purchase the PEP in the future. Also, </w:t>
      </w:r>
      <w:r>
        <w:rPr>
          <w:rFonts w:ascii="Times New Roman" w:hAnsi="Times New Roman" w:cs="Times New Roman"/>
          <w:sz w:val="24"/>
          <w:szCs w:val="24"/>
        </w:rPr>
        <w:lastRenderedPageBreak/>
        <w:t xml:space="preserve">the guidelines are not static, meaning they can be adapted as time goes on and additional campaigns go out. </w:t>
      </w:r>
    </w:p>
    <w:sectPr w:rsidR="005339EE" w:rsidRPr="00533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A3C" w:rsidRDefault="00A00A3C" w:rsidP="009336B1">
      <w:pPr>
        <w:spacing w:after="0" w:line="240" w:lineRule="auto"/>
      </w:pPr>
      <w:r>
        <w:separator/>
      </w:r>
    </w:p>
  </w:endnote>
  <w:endnote w:type="continuationSeparator" w:id="0">
    <w:p w:rsidR="00A00A3C" w:rsidRDefault="00A00A3C" w:rsidP="0093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A3C" w:rsidRDefault="00A00A3C" w:rsidP="009336B1">
      <w:pPr>
        <w:spacing w:after="0" w:line="240" w:lineRule="auto"/>
      </w:pPr>
      <w:r>
        <w:separator/>
      </w:r>
    </w:p>
  </w:footnote>
  <w:footnote w:type="continuationSeparator" w:id="0">
    <w:p w:rsidR="00A00A3C" w:rsidRDefault="00A00A3C" w:rsidP="009336B1">
      <w:pPr>
        <w:spacing w:after="0" w:line="240" w:lineRule="auto"/>
      </w:pPr>
      <w:r>
        <w:continuationSeparator/>
      </w:r>
    </w:p>
  </w:footnote>
  <w:footnote w:id="1">
    <w:p w:rsidR="00E57905" w:rsidRDefault="00E57905" w:rsidP="00E57905">
      <w:pPr>
        <w:pStyle w:val="FootnoteText"/>
      </w:pPr>
      <w:r>
        <w:rPr>
          <w:rStyle w:val="FootnoteReference"/>
        </w:rPr>
        <w:footnoteRef/>
      </w:r>
      <w:r>
        <w:t xml:space="preserve">The values were started high because, by their nature, higher support and confidence values are a good thing.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7B42"/>
    <w:multiLevelType w:val="hybridMultilevel"/>
    <w:tmpl w:val="E68899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46E3A"/>
    <w:multiLevelType w:val="hybridMultilevel"/>
    <w:tmpl w:val="39EEB9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42BBD"/>
    <w:multiLevelType w:val="hybridMultilevel"/>
    <w:tmpl w:val="252C7884"/>
    <w:lvl w:ilvl="0" w:tplc="79DED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4C"/>
    <w:rsid w:val="00005536"/>
    <w:rsid w:val="00141B08"/>
    <w:rsid w:val="00180D43"/>
    <w:rsid w:val="00183154"/>
    <w:rsid w:val="001B5AEB"/>
    <w:rsid w:val="001D7633"/>
    <w:rsid w:val="00345FCF"/>
    <w:rsid w:val="00407CE4"/>
    <w:rsid w:val="004220D0"/>
    <w:rsid w:val="00440F1C"/>
    <w:rsid w:val="004A5915"/>
    <w:rsid w:val="004E6C8A"/>
    <w:rsid w:val="00525E6C"/>
    <w:rsid w:val="005339EE"/>
    <w:rsid w:val="00545B4A"/>
    <w:rsid w:val="005A349E"/>
    <w:rsid w:val="005A536F"/>
    <w:rsid w:val="006B637C"/>
    <w:rsid w:val="0073673E"/>
    <w:rsid w:val="00782D64"/>
    <w:rsid w:val="007E5021"/>
    <w:rsid w:val="00890EB3"/>
    <w:rsid w:val="0089410F"/>
    <w:rsid w:val="008A335A"/>
    <w:rsid w:val="008D5143"/>
    <w:rsid w:val="009336B1"/>
    <w:rsid w:val="00974E42"/>
    <w:rsid w:val="009D3B4D"/>
    <w:rsid w:val="00A00A3C"/>
    <w:rsid w:val="00A05903"/>
    <w:rsid w:val="00A20E9F"/>
    <w:rsid w:val="00AA2ADC"/>
    <w:rsid w:val="00AC6BF0"/>
    <w:rsid w:val="00B0074C"/>
    <w:rsid w:val="00B35E77"/>
    <w:rsid w:val="00BB675C"/>
    <w:rsid w:val="00C05CD6"/>
    <w:rsid w:val="00C730D2"/>
    <w:rsid w:val="00C81C21"/>
    <w:rsid w:val="00CF001B"/>
    <w:rsid w:val="00D009E6"/>
    <w:rsid w:val="00DF1E59"/>
    <w:rsid w:val="00DF6750"/>
    <w:rsid w:val="00E10AD8"/>
    <w:rsid w:val="00E57905"/>
    <w:rsid w:val="00E87019"/>
    <w:rsid w:val="00EE4539"/>
    <w:rsid w:val="00FA507F"/>
    <w:rsid w:val="00FB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639C"/>
  <w15:chartTrackingRefBased/>
  <w15:docId w15:val="{5C7F6FE1-6456-4715-BA23-EA52021A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6F"/>
    <w:pPr>
      <w:ind w:left="720"/>
      <w:contextualSpacing/>
    </w:pPr>
  </w:style>
  <w:style w:type="paragraph" w:styleId="BalloonText">
    <w:name w:val="Balloon Text"/>
    <w:basedOn w:val="Normal"/>
    <w:link w:val="BalloonTextChar"/>
    <w:uiPriority w:val="99"/>
    <w:semiHidden/>
    <w:unhideWhenUsed/>
    <w:rsid w:val="004A5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915"/>
    <w:rPr>
      <w:rFonts w:ascii="Segoe UI" w:hAnsi="Segoe UI" w:cs="Segoe UI"/>
      <w:sz w:val="18"/>
      <w:szCs w:val="18"/>
    </w:rPr>
  </w:style>
  <w:style w:type="paragraph" w:styleId="FootnoteText">
    <w:name w:val="footnote text"/>
    <w:basedOn w:val="Normal"/>
    <w:link w:val="FootnoteTextChar"/>
    <w:uiPriority w:val="99"/>
    <w:semiHidden/>
    <w:unhideWhenUsed/>
    <w:rsid w:val="00933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6B1"/>
    <w:rPr>
      <w:sz w:val="20"/>
      <w:szCs w:val="20"/>
    </w:rPr>
  </w:style>
  <w:style w:type="character" w:styleId="FootnoteReference">
    <w:name w:val="footnote reference"/>
    <w:basedOn w:val="DefaultParagraphFont"/>
    <w:uiPriority w:val="99"/>
    <w:semiHidden/>
    <w:unhideWhenUsed/>
    <w:rsid w:val="009336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AB112-864A-4EBF-9843-4D288F99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8</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cp:revision>
  <dcterms:created xsi:type="dcterms:W3CDTF">2020-01-24T00:56:00Z</dcterms:created>
  <dcterms:modified xsi:type="dcterms:W3CDTF">2020-01-26T16:44:00Z</dcterms:modified>
</cp:coreProperties>
</file>