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B2E4F"/>
          <w:sz w:val="40"/>
        </w:rPr>
        <w:t>Grounded RAG for Scientific Q&amp;A</w:t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21"/>
        </w:rPr>
        <w:t>Engineering Design Brief  •  Arun Kalyaanasundaram  •  github.com/bhaskara10/grounded-rag-sciqa</w:t>
      </w:r>
    </w:p>
    <w:p>
      <w:pPr>
        <w:spacing w:before="160" w:after="60"/>
        <w:pBdr>
          <w:bottom w:val="single" w:sz="8" w:space="1" w:color="1F4E79"/>
        </w:pBdr>
      </w:pPr>
      <w:r>
        <w:rPr>
          <w:rFonts w:ascii="Calibri" w:hAnsi="Calibri"/>
          <w:b/>
          <w:color w:val="0B2E4F"/>
          <w:sz w:val="24"/>
        </w:rPr>
        <w:t>PROBLEM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A2A2A"/>
          <w:sz w:val="21"/>
        </w:rPr>
        <w:t>Naive RAG systems fail dangerously on scientific literature. The model produces an answer that looks well-cited but the citations don't actually support the claims — a number is off by an order of magnitude, a causal relationship is fabricated, a contradicting result from the same retrieved set is silently dropped. The failure surfaces only under expert review, by which time downstream decisions have already been made.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A2A2A"/>
          <w:sz w:val="21"/>
        </w:rPr>
        <w:t>Prompt-level instructions (“cite your sources”, “don’t hallucinate”) are the wrong place to fix this. They are advisory, model-specific, and silently regress as models change. The right place is the service boundary: an answer should not leave the system until a deterministic verifier accepts every sentence-level attribution against the retrieved evidence set. Grounding is a contract, not a hint.</w:t>
      </w:r>
    </w:p>
    <w:p>
      <w:pPr>
        <w:spacing w:before="160" w:after="60"/>
        <w:pBdr>
          <w:bottom w:val="single" w:sz="8" w:space="1" w:color="1F4E79"/>
        </w:pBdr>
      </w:pPr>
      <w:r>
        <w:rPr>
          <w:rFonts w:ascii="Calibri" w:hAnsi="Calibri"/>
          <w:b/>
          <w:color w:val="0B2E4F"/>
          <w:sz w:val="24"/>
        </w:rPr>
        <w:t>ARCHITECTURE (TARGET STATE)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A2A2A"/>
          <w:sz w:val="21"/>
        </w:rPr>
        <w:t>Three services with hard boundaries, each scaling independently: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ingest: </w:t>
      </w:r>
      <w:r>
        <w:rPr>
          <w:rFonts w:ascii="Calibri" w:hAnsi="Calibri"/>
          <w:color w:val="2A2A2A"/>
          <w:sz w:val="20"/>
        </w:rPr>
        <w:t>PDF → deduplication (SHA-256) → Docling parse → section-aware chunking → bi-encoder embed → OpenSearch index. Async GROBID enrichment writes to separate fields, then a versioned ResolutionPolicy merges into resolved_* and a SearchProjection flag flips when enriched filters become live.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query: </w:t>
      </w:r>
      <w:r>
        <w:rPr>
          <w:rFonts w:ascii="Calibri" w:hAnsi="Calibri"/>
          <w:color w:val="2A2A2A"/>
          <w:sz w:val="20"/>
        </w:rPr>
        <w:t>Question → hybrid retrieval (BM25 + dense + RRF) → cross-encoder rerank → adaptive evidence selection (score threshold + token budget + diversity) → structured JSON generation (vLLM constrained decoding) → deterministic grounding verifier → answer with citations OR abstention with best passages.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eval: </w:t>
      </w:r>
      <w:r>
        <w:rPr>
          <w:rFonts w:ascii="Calibri" w:hAnsi="Calibri"/>
          <w:color w:val="2A2A2A"/>
          <w:sz w:val="20"/>
        </w:rPr>
        <w:t>Three layers tracked separately — retrieval (P@5, nDCG, MRR, context P/R), answer (faithfulness, unsupported-claim rate, citation coverage, abstention precision), ops (p50/p95/p99 latency, parse failure rate, token usage). Releases are gated on all three.</w:t>
      </w:r>
    </w:p>
    <w:p>
      <w:pPr>
        <w:spacing w:before="160" w:after="60"/>
        <w:pBdr>
          <w:bottom w:val="single" w:sz="8" w:space="1" w:color="1F4E79"/>
        </w:pBdr>
      </w:pPr>
      <w:r>
        <w:rPr>
          <w:rFonts w:ascii="Calibri" w:hAnsi="Calibri"/>
          <w:b/>
          <w:color w:val="0B2E4F"/>
          <w:sz w:val="24"/>
        </w:rPr>
        <w:t>WHY SCAFFOLD-FIRST, NOT DEMO-FIRST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A2A2A"/>
          <w:sz w:val="21"/>
        </w:rPr>
        <w:t>Most RAG repos demo a working pipeline glued together with weak contracts. This project deliberately inverts that order: contracts, schema, and the grounding verifier first; pipeline implementation in phases. Three reasons.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The contract is the product. </w:t>
      </w:r>
      <w:r>
        <w:rPr>
          <w:rFonts w:ascii="Calibri" w:hAnsi="Calibri"/>
          <w:color w:val="2A2A2A"/>
          <w:sz w:val="20"/>
        </w:rPr>
        <w:t>If the grounding contract is wrong, every implementation that claims to satisfy it is also wrong. Building the verifier first — with deterministic checks that are model-agnostic — forces the contract to be testable before any generator is wired in.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Schema mistakes are unfixable later. </w:t>
      </w:r>
      <w:r>
        <w:rPr>
          <w:rFonts w:ascii="Calibri" w:hAnsi="Calibri"/>
          <w:color w:val="2A2A2A"/>
          <w:sz w:val="20"/>
        </w:rPr>
        <w:t>Source-specific field separation (docling_title, grobid_title, never overwriting) cannot be retrofitted. Once a pipeline starts overwriting fields, every downstream artifact is suspect. Versioned resolution requires the discipline up front.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Eval taxonomy precedes ML choices. </w:t>
      </w:r>
      <w:r>
        <w:rPr>
          <w:rFonts w:ascii="Calibri" w:hAnsi="Calibri"/>
          <w:color w:val="2A2A2A"/>
          <w:sz w:val="20"/>
        </w:rPr>
        <w:t>Three-layer eval separation must exist before model and retrieval choices are locked, or you optimize for the wrong layer. Most teams discover this after they’ve already tuned generation.</w:t>
      </w:r>
    </w:p>
    <w:p>
      <w:pPr>
        <w:spacing w:before="160" w:after="60"/>
        <w:pBdr>
          <w:bottom w:val="single" w:sz="8" w:space="1" w:color="1F4E79"/>
        </w:pBdr>
      </w:pPr>
      <w:r>
        <w:rPr>
          <w:rFonts w:ascii="Calibri" w:hAnsi="Calibri"/>
          <w:b/>
          <w:color w:val="0B2E4F"/>
          <w:sz w:val="24"/>
        </w:rPr>
        <w:t>THREE DESIGN DECISIONS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</w:rPr>
        <w:t>1. Hard grounding contract enforced at the service boundary.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A2A2A"/>
          <w:sz w:val="20"/>
        </w:rPr>
        <w:t>Every factual sentence carries a list of supporting_chunk_ids. The verifier rejects: (a) sentences with no citations; (b) citations to chunks that were not retrieved for this request; (c) sentences whose token overlap with cited evidence is below threshold; (d) numeric claims whose values do not appear in cited evidence. If any sentence fails, the whole answer is marked abstained. The verifier is generator-agnostic — vLLM, OpenAI, or the local extractive baseline all hit the same wall.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Why deterministic before LLM-as-judge: a regex/overlap floor is fast, free, and immune to model drift. An LLM judge can be added as a second layer for semantic checks but cannot go below the deterministic floor. Numerics in particular are best caught by regex — LLM judges are unreliable on “is 0.847 the same as 0.84?”.</w:t>
      </w:r>
    </w:p>
    <w:p>
      <w:pPr>
        <w:spacing w:before="120" w:after="40"/>
      </w:pPr>
      <w:r>
        <w:rPr>
          <w:rFonts w:ascii="Calibri" w:hAnsi="Calibri"/>
          <w:b/>
          <w:i w:val="0"/>
          <w:color w:val="1F4E79"/>
          <w:sz w:val="22"/>
        </w:rPr>
        <w:t>2. Source-specific fields with versioned resolution.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A2A2A"/>
          <w:sz w:val="20"/>
        </w:rPr>
        <w:t>Docling and GROBID write to disjoint fields (docling_title vs grobid_title) and never overwrite each other. A deterministic ResolutionPolicy — pinned to a version stamped on every Document — merges them into resolved_* fields. When heuristics improve, re-resolution is a one-pass batch over existing parser output, not a re-parse. At &gt;10k papers this is the difference between an afternoon and a week.</w:t>
      </w:r>
    </w:p>
    <w:p>
      <w:pPr>
        <w:spacing w:before="120" w:after="40"/>
      </w:pPr>
      <w:r>
        <w:rPr>
          <w:rFonts w:ascii="Calibri" w:hAnsi="Calibri"/>
          <w:b/>
          <w:i w:val="0"/>
          <w:color w:val="1F4E79"/>
          <w:sz w:val="22"/>
        </w:rPr>
        <w:t>3. Async enrichment with explicit projection state.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A2A2A"/>
          <w:sz w:val="20"/>
        </w:rPr>
        <w:t>GROBID enrichment is slow and brittle; binding it inline to ingestion would cap throughput and create cascading failures. Enrichment runs async; a SearchProjection record tracks index state separately from DB state; is_enriched_searchable is the authoritative flag the query service gates author/citation filters on. Filters are never gated on nullable fields — absence of a value never implies absence of intent.</w:t>
      </w:r>
    </w:p>
    <w:p>
      <w:pPr>
        <w:spacing w:before="160" w:after="60"/>
        <w:pBdr>
          <w:bottom w:val="single" w:sz="8" w:space="1" w:color="1F4E79"/>
        </w:pBdr>
      </w:pPr>
      <w:r>
        <w:rPr>
          <w:rFonts w:ascii="Calibri" w:hAnsi="Calibri"/>
          <w:b/>
          <w:color w:val="0B2E4F"/>
          <w:sz w:val="24"/>
        </w:rPr>
        <w:t>VERIFIER DESIGN PHILOSOPHY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Floor first, ceiling later. </w:t>
      </w:r>
      <w:r>
        <w:rPr>
          <w:rFonts w:ascii="Calibri" w:hAnsi="Calibri"/>
          <w:color w:val="2A2A2A"/>
          <w:sz w:val="20"/>
        </w:rPr>
        <w:t>Deterministic checks are a hard floor. They run in microseconds, never regress, never have a temperature setting.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Reasons are first-class. </w:t>
      </w:r>
      <w:r>
        <w:rPr>
          <w:rFonts w:ascii="Calibri" w:hAnsi="Calibri"/>
          <w:color w:val="2A2A2A"/>
          <w:sz w:val="20"/>
        </w:rPr>
        <w:t>Every layer of the verifier has a name (missing_supporting_chunk_ids, supporting_chunk_not_retrieved, low_evidence_overlap, missing_numbers). When something fails, you know exactly what failed.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Numbers are checked literally. </w:t>
      </w:r>
      <w:r>
        <w:rPr>
          <w:rFonts w:ascii="Calibri" w:hAnsi="Calibri"/>
          <w:color w:val="2A2A2A"/>
          <w:sz w:val="20"/>
        </w:rPr>
        <w:t>0.847 is not 0.84. Floating-point and percentage-vs-ratio tricks are caught by regex extraction, not by an LLM doing approximate equality.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One bad sentence abstains the whole answer. </w:t>
      </w:r>
      <w:r>
        <w:rPr>
          <w:rFonts w:ascii="Calibri" w:hAnsi="Calibri"/>
          <w:color w:val="2A2A2A"/>
          <w:sz w:val="20"/>
        </w:rPr>
        <w:t>On any unsupported sentence, the whole answer is marked abstained. Partial truths are more dangerous than abstentions.</w:t>
      </w:r>
    </w:p>
    <w:p>
      <w:pPr>
        <w:spacing w:before="160" w:after="60"/>
        <w:pBdr>
          <w:bottom w:val="single" w:sz="8" w:space="1" w:color="1F4E79"/>
        </w:pBdr>
      </w:pPr>
      <w:r>
        <w:rPr>
          <w:rFonts w:ascii="Calibri" w:hAnsi="Calibri"/>
          <w:b/>
          <w:color w:val="0B2E4F"/>
          <w:sz w:val="24"/>
        </w:rPr>
        <w:t>EVALUATION STRATEGY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A2A2A"/>
          <w:sz w:val="21"/>
        </w:rPr>
        <w:t>Evaluation is split into three layers because they fail independently and need to be observed independently. Treating them as one composite metric — a single “good RAG score” — hides the failure mode that matters most: a high answer score on a bad retrieval set is the system silently confabulating.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2160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A2A2A"/>
                <w:sz w:val="19"/>
              </w:rPr>
              <w:t>Retrieval</w:t>
            </w:r>
          </w:p>
        </w:tc>
        <w:tc>
          <w:tcPr>
            <w:tcW w:type="dxa" w:w="7920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2A2A2A"/>
                <w:sz w:val="19"/>
              </w:rPr>
              <w:t>Precision@5, Recall@5, nDCG@5, MRR, context precision/recall</w:t>
            </w:r>
          </w:p>
        </w:tc>
      </w:tr>
      <w:tr>
        <w:tc>
          <w:tcPr>
            <w:tcW w:type="dxa" w:w="2160"/>
            <w:vAlign w:val="center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A2A2A"/>
                <w:sz w:val="19"/>
              </w:rPr>
              <w:t>Answer</w:t>
            </w:r>
          </w:p>
        </w:tc>
        <w:tc>
          <w:tcPr>
            <w:tcW w:type="dxa" w:w="7920"/>
            <w:vAlign w:val="center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2A2A2A"/>
                <w:sz w:val="19"/>
              </w:rPr>
              <w:t>Faithfulness, unsupported-claim rate, citation coverage, abstention precision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A2A2A"/>
                <w:sz w:val="19"/>
              </w:rPr>
              <w:t>Ops</w:t>
            </w:r>
          </w:p>
        </w:tc>
        <w:tc>
          <w:tcPr>
            <w:tcW w:type="dxa" w:w="7920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2A2A2A"/>
                <w:sz w:val="19"/>
              </w:rPr>
              <w:t>p50/p95/p99 latency, parse failure rate, avg token usage, cache hit rate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Releases are gated on all three layers passing configured thresholds. Layer-specific regressions block deployment even if overall numbers look fine.</w:t>
      </w:r>
    </w:p>
    <w:p>
      <w:pPr>
        <w:spacing w:before="160" w:after="60"/>
        <w:pBdr>
          <w:bottom w:val="single" w:sz="8" w:space="1" w:color="1F4E79"/>
        </w:pBdr>
      </w:pPr>
      <w:r>
        <w:rPr>
          <w:rFonts w:ascii="Calibri" w:hAnsi="Calibri"/>
          <w:b/>
          <w:color w:val="0B2E4F"/>
          <w:sz w:val="24"/>
        </w:rPr>
        <w:t>STACK CHOICES AND RATIONALE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Docling: </w:t>
      </w:r>
      <w:r>
        <w:rPr>
          <w:rFonts w:ascii="Calibri" w:hAnsi="Calibri"/>
          <w:color w:val="2A2A2A"/>
          <w:sz w:val="20"/>
        </w:rPr>
        <w:t>Layout-aware, provenance-preserving. Section paths and bbox spans are required for citation pinpointing; line-based parsers (PyMuPDF) lose this signal.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GROBID: </w:t>
      </w:r>
      <w:r>
        <w:rPr>
          <w:rFonts w:ascii="Calibri" w:hAnsi="Calibri"/>
          <w:color w:val="2A2A2A"/>
          <w:sz w:val="20"/>
        </w:rPr>
        <w:t>Best-in-class for citation graph extraction; runs as a web service so it can be scaled and rate-limited independently of the parse worker.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OpenSearch: </w:t>
      </w:r>
      <w:r>
        <w:rPr>
          <w:rFonts w:ascii="Calibri" w:hAnsi="Calibri"/>
          <w:color w:val="2A2A2A"/>
          <w:sz w:val="20"/>
        </w:rPr>
        <w:t>Hybrid (BM25 + kNN) in a single index, RRF fusion at query time. Domain scientific terms (“RoBERTa”, “SciERC”) need exact match; a dense-only retriever loses on rare entities.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vLLM: </w:t>
      </w:r>
      <w:r>
        <w:rPr>
          <w:rFonts w:ascii="Calibri" w:hAnsi="Calibri"/>
          <w:color w:val="2A2A2A"/>
          <w:sz w:val="20"/>
        </w:rPr>
        <w:t>Constrained decoding for structured JSON output is non-negotiable for the grounding contract. vLLM’s guided generation is the production path; OpenAI’s JSON mode is the dev fallback.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Pydantic + mypy strict: </w:t>
      </w:r>
      <w:r>
        <w:rPr>
          <w:rFonts w:ascii="Calibri" w:hAnsi="Calibri"/>
          <w:color w:val="2A2A2A"/>
          <w:sz w:val="20"/>
        </w:rPr>
        <w:t>Pydantic v2 with strict mypy. Contracts are enforced at every service boundary, not just at the API edge. Internal events are discriminated unions — typos in event types fail at parse time, not at runtime.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FastAPI services, not a monolith: </w:t>
      </w:r>
      <w:r>
        <w:rPr>
          <w:rFonts w:ascii="Calibri" w:hAnsi="Calibri"/>
          <w:color w:val="2A2A2A"/>
          <w:sz w:val="20"/>
        </w:rPr>
        <w:t>Service separation lets ingest (I/O-bound), query (GPU-bound), and eval (batch) scale independently. A single binary forces the slowest worker to size the deployment.</w:t>
      </w:r>
    </w:p>
    <w:p>
      <w:pPr>
        <w:spacing w:before="160" w:after="60"/>
        <w:pBdr>
          <w:bottom w:val="single" w:sz="8" w:space="1" w:color="1F4E79"/>
        </w:pBdr>
      </w:pPr>
      <w:r>
        <w:rPr>
          <w:rFonts w:ascii="Calibri" w:hAnsi="Calibri"/>
          <w:b/>
          <w:color w:val="0B2E4F"/>
          <w:sz w:val="24"/>
        </w:rPr>
        <w:t>TRADE-OFFS I'D DEFEND IN REVIEW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Why not LangChain / LlamaIndex? </w:t>
      </w:r>
      <w:r>
        <w:rPr>
          <w:rFonts w:ascii="Calibri" w:hAnsi="Calibri"/>
          <w:color w:val="2A2A2A"/>
          <w:sz w:val="20"/>
        </w:rPr>
        <w:t>Frameworks abstract over the boundary where the grounding contract needs to be enforced. Their retriever-then-generator pipelines hide the verifier between layers; this project elevates the verifier to a first-class service-boundary check.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Why not LLM-as-judge for the whole verifier? </w:t>
      </w:r>
      <w:r>
        <w:rPr>
          <w:rFonts w:ascii="Calibri" w:hAnsi="Calibri"/>
          <w:color w:val="2A2A2A"/>
          <w:sz w:val="20"/>
        </w:rPr>
        <w:t>Numeric exactness, evidence overlap, and citation-set membership are correctness properties, not preference questions. An LLM judge is appropriate as a second layer for semantic faithfulness, but it cannot replace the deterministic floor without letting drift back in.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Why versioned ResolutionPolicy instead of “use the better parser”? </w:t>
      </w:r>
      <w:r>
        <w:rPr>
          <w:rFonts w:ascii="Calibri" w:hAnsi="Calibri"/>
          <w:color w:val="2A2A2A"/>
          <w:sz w:val="20"/>
        </w:rPr>
        <w:t>Heuristics improve. Re-resolving 100k papers in-band with a re-parse is operationally untenable; storing parser output untouched and re-resolving via batch is the only path that scales.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Why async enrichment instead of inline? </w:t>
      </w:r>
      <w:r>
        <w:rPr>
          <w:rFonts w:ascii="Calibri" w:hAnsi="Calibri"/>
          <w:color w:val="2A2A2A"/>
          <w:sz w:val="20"/>
        </w:rPr>
        <w:t>GROBID is slow and brittle. Coupling enrichment to ingestion caps throughput at the weakest worker and creates cascading failures. SearchProjection makes the gating decision explicit — search filters are live when enriched_projection_applied is true, not when fields are non-null.</w:t>
      </w:r>
    </w:p>
    <w:p>
      <w:pPr>
        <w:spacing w:before="160" w:after="60"/>
        <w:pBdr>
          <w:bottom w:val="single" w:sz="8" w:space="1" w:color="1F4E79"/>
        </w:pBdr>
      </w:pPr>
      <w:r>
        <w:rPr>
          <w:rFonts w:ascii="Calibri" w:hAnsi="Calibri"/>
          <w:b/>
          <w:color w:val="0B2E4F"/>
          <w:sz w:val="24"/>
        </w:rPr>
        <w:t>ROADMAP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Phase 1 (current): </w:t>
      </w:r>
      <w:r>
        <w:rPr>
          <w:rFonts w:ascii="Calibri" w:hAnsi="Calibri"/>
          <w:color w:val="2A2A2A"/>
          <w:sz w:val="20"/>
        </w:rPr>
        <w:t>Wire LocalRAG into HTTP /qa; minimal local file ingestion (txt + arxiv URL).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Phase 2: </w:t>
      </w:r>
      <w:r>
        <w:rPr>
          <w:rFonts w:ascii="Calibri" w:hAnsi="Calibri"/>
          <w:color w:val="2A2A2A"/>
          <w:sz w:val="20"/>
        </w:rPr>
        <w:t>Docling + GROBID workers; OpenSearch hybrid index; cross-encoder reranking; vLLM-backed structured generation; SciFact / QASPER eval baselines committed to repo.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 xml:space="preserve">•  </w:t>
      </w:r>
      <w:r>
        <w:rPr>
          <w:rFonts w:ascii="Calibri" w:hAnsi="Calibri"/>
          <w:b/>
          <w:color w:val="2A2A2A"/>
          <w:sz w:val="20"/>
        </w:rPr>
        <w:t xml:space="preserve">Phase 3: </w:t>
      </w:r>
      <w:r>
        <w:rPr>
          <w:rFonts w:ascii="Calibri" w:hAnsi="Calibri"/>
          <w:color w:val="2A2A2A"/>
          <w:sz w:val="20"/>
        </w:rPr>
        <w:t>LLM-as-judge verifier as second layer; semantic faithfulness scoring; per-section citation routing for long papers; calibrated abstention policy.</w:t>
      </w:r>
    </w:p>
    <w:p>
      <w:pPr>
        <w:spacing w:before="160" w:after="60"/>
        <w:pBdr>
          <w:bottom w:val="single" w:sz="8" w:space="1" w:color="1F4E79"/>
        </w:pBdr>
      </w:pPr>
      <w:r>
        <w:rPr>
          <w:rFonts w:ascii="Calibri" w:hAnsi="Calibri"/>
          <w:b/>
          <w:color w:val="0B2E4F"/>
          <w:sz w:val="24"/>
        </w:rPr>
        <w:t>WHAT I'D CHANGE AT 100M-DOCUMENT SCALE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>•  Embedding inference moved to a dedicated GPU service with autoscaling; current single-process embed is the bottleneck.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>•  ResolutionPolicy snapshots stored offline; re-resolution as Spark / Ray batch, not in-band.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>•  OpenSearch split into separate read/write clusters; index aliases for blue-green reindexes.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>•  Parser worker as Kubernetes Job with idempotent task IDs, not in-process async task.</w:t>
      </w:r>
    </w:p>
    <w:p>
      <w:pPr>
        <w:spacing w:after="40"/>
        <w:ind w:left="360" w:hanging="259"/>
      </w:pPr>
      <w:r>
        <w:rPr>
          <w:rFonts w:ascii="Calibri" w:hAnsi="Calibri"/>
          <w:color w:val="2A2A2A"/>
          <w:sz w:val="20"/>
        </w:rPr>
        <w:t>•  Reranker served via Triton with batched inference; today’s in-process cross-encoder won’t hold p99 under load.</w:t>
      </w:r>
    </w:p>
    <w:p>
      <w:pPr>
        <w:spacing w:before="160" w:after="60"/>
        <w:pBdr>
          <w:bottom w:val="single" w:sz="8" w:space="1" w:color="1F4E79"/>
        </w:pBdr>
      </w:pPr>
      <w:r>
        <w:rPr>
          <w:rFonts w:ascii="Calibri" w:hAnsi="Calibri"/>
          <w:b/>
          <w:color w:val="0B2E4F"/>
          <w:sz w:val="24"/>
        </w:rPr>
        <w:t>WHAT THIS PROJECT DEMONSTRATES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A2A2A"/>
          <w:sz w:val="21"/>
        </w:rPr>
        <w:t>Production-grade ML platform thinking before implementation — explicit contracts, versioned artifacts, async-safe state machines, regression-gated evaluation, and a deterministic correctness floor that an LLM judge cannot regress below. The phased implementation prioritizes the verifier and contracts; production retrieval and generation follow on a foundation that won’t need to be redesigned.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