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B2E4F"/>
          <w:sz w:val="36"/>
        </w:rPr>
        <w:t>Grounded RAG for Scientific Q&amp;A</w:t>
      </w:r>
    </w:p>
    <w:p>
      <w:pPr>
        <w:spacing w:after="160"/>
        <w:jc w:val="center"/>
      </w:pPr>
      <w:r>
        <w:rPr>
          <w:rFonts w:ascii="Calibri" w:hAnsi="Calibri"/>
          <w:i/>
          <w:color w:val="555555"/>
          <w:sz w:val="20"/>
        </w:rPr>
        <w:t>Open-source project  •  Stanford AI Professional Program  •  Apache 2.0</w:t>
      </w:r>
    </w:p>
    <w:tbl>
      <w:tblPr>
        <w:tblW w:type="auto" w:w="0"/>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Pr>
      <w:tblGrid>
        <w:gridCol w:w="10224"/>
      </w:tblGrid>
      <w:tr>
        <w:tc>
          <w:tcPr>
            <w:tcW w:type="dxa" w:w="10224"/>
            <w:shd w:val="clear" w:color="auto" w:fill="EAF1F8"/>
          </w:tcPr>
          <w:p>
            <w:pPr>
              <w:spacing w:before="80" w:after="80"/>
            </w:pPr>
            <w:r/>
            <w:r>
              <w:rPr>
                <w:rFonts w:ascii="Calibri" w:hAnsi="Calibri"/>
                <w:color w:val="2A2A2A"/>
                <w:sz w:val="21"/>
              </w:rPr>
              <w:t>A retrieval-augmented Q&amp;A system for scientific papers where every answer sentence is automatically traced to a source passage. When evidence is insufficient, the system abstains instead of fabricating an answer — the architecture, not the prompt, enforces grounding.</w:t>
            </w:r>
          </w:p>
        </w:tc>
      </w:tr>
    </w:tbl>
    <w:p>
      <w:pPr>
        <w:spacing w:before="160" w:after="60"/>
        <w:pBdr>
          <w:bottom w:val="single" w:sz="8" w:space="1" w:color="1F4E79"/>
        </w:pBdr>
      </w:pPr>
      <w:r>
        <w:rPr>
          <w:rFonts w:ascii="Calibri" w:hAnsi="Calibri"/>
          <w:b/>
          <w:color w:val="0B2E4F"/>
          <w:sz w:val="24"/>
        </w:rPr>
        <w:t>WHAT IT DOES</w:t>
      </w:r>
    </w:p>
    <w:p>
      <w:pPr>
        <w:spacing w:after="40"/>
        <w:ind w:left="360" w:hanging="259"/>
      </w:pPr>
      <w:r>
        <w:rPr>
          <w:rFonts w:ascii="Calibri" w:hAnsi="Calibri"/>
          <w:color w:val="2A2A2A"/>
          <w:sz w:val="20"/>
        </w:rPr>
        <w:t>•  Ingests scientific papers (PDF) and extracts structured content (sections, tables, citations).</w:t>
      </w:r>
    </w:p>
    <w:p>
      <w:pPr>
        <w:spacing w:after="40"/>
        <w:ind w:left="360" w:hanging="259"/>
      </w:pPr>
      <w:r>
        <w:rPr>
          <w:rFonts w:ascii="Calibri" w:hAnsi="Calibri"/>
          <w:color w:val="2A2A2A"/>
          <w:sz w:val="20"/>
        </w:rPr>
        <w:t>•  Answers natural-language questions with sentence-level citations to source passages.</w:t>
      </w:r>
    </w:p>
    <w:p>
      <w:pPr>
        <w:spacing w:after="40"/>
        <w:ind w:left="360" w:hanging="259"/>
      </w:pPr>
      <w:r>
        <w:rPr>
          <w:rFonts w:ascii="Calibri" w:hAnsi="Calibri"/>
          <w:color w:val="2A2A2A"/>
          <w:sz w:val="20"/>
        </w:rPr>
        <w:t>•  Refuses to answer when retrieved evidence is too thin, contradictory, or unsupportive.</w:t>
      </w:r>
    </w:p>
    <w:p>
      <w:pPr>
        <w:spacing w:after="40"/>
        <w:ind w:left="360" w:hanging="259"/>
      </w:pPr>
      <w:r>
        <w:rPr>
          <w:rFonts w:ascii="Calibri" w:hAnsi="Calibri"/>
          <w:color w:val="2A2A2A"/>
          <w:sz w:val="20"/>
        </w:rPr>
        <w:t>•  Tracks retrieval quality, answer faithfulness, and operational metrics in a regression-gated eval harness.</w:t>
      </w:r>
    </w:p>
    <w:p>
      <w:pPr>
        <w:spacing w:before="160" w:after="60"/>
        <w:pBdr>
          <w:bottom w:val="single" w:sz="8" w:space="1" w:color="1F4E79"/>
        </w:pBdr>
      </w:pPr>
      <w:r>
        <w:rPr>
          <w:rFonts w:ascii="Calibri" w:hAnsi="Calibri"/>
          <w:b/>
          <w:color w:val="0B2E4F"/>
          <w:sz w:val="24"/>
        </w:rPr>
        <w:t>WHY IT MATTERS</w:t>
      </w:r>
    </w:p>
    <w:p>
      <w:pPr>
        <w:spacing w:before="0" w:after="80"/>
      </w:pPr>
      <w:r>
        <w:rPr>
          <w:rFonts w:ascii="Calibri" w:hAnsi="Calibri"/>
          <w:b w:val="0"/>
          <w:i w:val="0"/>
          <w:color w:val="2A2A2A"/>
          <w:sz w:val="20"/>
        </w:rPr>
        <w:t>Standard RAG systems often produce confident-sounding answers that cite the wrong evidence, hallucinate numbers, or silently omit conflicting results. That failure mode is dangerous in scientific, legal, medical, and financial use cases. This project enforces grounding at the service boundary — unsupported claims are rejected by deterministic checks before any answer leaves the system, regardless of which generator produced it.</w:t>
      </w:r>
    </w:p>
    <w:p>
      <w:pPr>
        <w:spacing w:before="160" w:after="60"/>
        <w:pBdr>
          <w:bottom w:val="single" w:sz="8" w:space="1" w:color="1F4E79"/>
        </w:pBdr>
      </w:pPr>
      <w:r>
        <w:rPr>
          <w:rFonts w:ascii="Calibri" w:hAnsi="Calibri"/>
          <w:b/>
          <w:color w:val="0B2E4F"/>
          <w:sz w:val="24"/>
        </w:rPr>
        <w:t>TECH STACK</w:t>
      </w:r>
    </w:p>
    <w:p>
      <w:pPr>
        <w:spacing w:before="0" w:after="80"/>
      </w:pPr>
      <w:r>
        <w:rPr>
          <w:rFonts w:ascii="Calibri" w:hAnsi="Calibri"/>
          <w:b w:val="0"/>
          <w:i w:val="0"/>
          <w:color w:val="2A2A2A"/>
          <w:sz w:val="20"/>
        </w:rPr>
        <w:t>Python 3.11  ·  FastAPI  ·  Pydantic v2  ·  Docker  ·  OpenSearch (BM25 + kNN)  ·  vLLM (constrained decoding)  ·  Docling + GROBID (PDF parsing)  ·  Ragas + custom eval harness  ·  GitHub Actions CI  ·  ruff / mypy / pytest</w:t>
      </w:r>
    </w:p>
    <w:p>
      <w:pPr>
        <w:spacing w:before="160" w:after="60"/>
        <w:pBdr>
          <w:bottom w:val="single" w:sz="8" w:space="1" w:color="1F4E79"/>
        </w:pBdr>
      </w:pPr>
      <w:r>
        <w:rPr>
          <w:rFonts w:ascii="Calibri" w:hAnsi="Calibri"/>
          <w:b/>
          <w:color w:val="0B2E4F"/>
          <w:sz w:val="24"/>
        </w:rPr>
        <w:t>CURRENT STATUS</w:t>
      </w:r>
    </w:p>
    <w:p>
      <w:pPr>
        <w:spacing w:after="40"/>
        <w:ind w:left="360" w:hanging="259"/>
      </w:pPr>
      <w:r>
        <w:rPr>
          <w:rFonts w:ascii="Calibri" w:hAnsi="Calibri"/>
          <w:color w:val="2A2A2A"/>
          <w:sz w:val="20"/>
        </w:rPr>
        <w:t xml:space="preserve">•  </w:t>
      </w:r>
      <w:r>
        <w:rPr>
          <w:rFonts w:ascii="Calibri" w:hAnsi="Calibri"/>
          <w:b/>
          <w:color w:val="2A2A2A"/>
          <w:sz w:val="20"/>
        </w:rPr>
        <w:t xml:space="preserve">Complete: </w:t>
      </w:r>
      <w:r>
        <w:rPr>
          <w:rFonts w:ascii="Calibri" w:hAnsi="Calibri"/>
          <w:color w:val="2A2A2A"/>
          <w:sz w:val="20"/>
        </w:rPr>
        <w:t>Canonical schema, pipeline event contracts, and service API contracts.</w:t>
      </w:r>
    </w:p>
    <w:p>
      <w:pPr>
        <w:spacing w:after="40"/>
        <w:ind w:left="360" w:hanging="259"/>
      </w:pPr>
      <w:r>
        <w:rPr>
          <w:rFonts w:ascii="Calibri" w:hAnsi="Calibri"/>
          <w:color w:val="2A2A2A"/>
          <w:sz w:val="20"/>
        </w:rPr>
        <w:t xml:space="preserve">•  </w:t>
      </w:r>
      <w:r>
        <w:rPr>
          <w:rFonts w:ascii="Calibri" w:hAnsi="Calibri"/>
          <w:b/>
          <w:color w:val="2A2A2A"/>
          <w:sz w:val="20"/>
        </w:rPr>
        <w:t xml:space="preserve">Complete: </w:t>
      </w:r>
      <w:r>
        <w:rPr>
          <w:rFonts w:ascii="Calibri" w:hAnsi="Calibri"/>
          <w:color w:val="2A2A2A"/>
          <w:sz w:val="20"/>
        </w:rPr>
        <w:t>Deterministic sentence-level grounding verifier with overlap and numeric-claim checks.</w:t>
      </w:r>
    </w:p>
    <w:p>
      <w:pPr>
        <w:spacing w:after="40"/>
        <w:ind w:left="360" w:hanging="259"/>
      </w:pPr>
      <w:r>
        <w:rPr>
          <w:rFonts w:ascii="Calibri" w:hAnsi="Calibri"/>
          <w:color w:val="2A2A2A"/>
          <w:sz w:val="20"/>
        </w:rPr>
        <w:t xml:space="preserve">•  </w:t>
      </w:r>
      <w:r>
        <w:rPr>
          <w:rFonts w:ascii="Calibri" w:hAnsi="Calibri"/>
          <w:b/>
          <w:color w:val="2A2A2A"/>
          <w:sz w:val="20"/>
        </w:rPr>
        <w:t xml:space="preserve">Complete: </w:t>
      </w:r>
      <w:r>
        <w:rPr>
          <w:rFonts w:ascii="Calibri" w:hAnsi="Calibri"/>
          <w:color w:val="2A2A2A"/>
          <w:sz w:val="20"/>
        </w:rPr>
        <w:t>Local end-to-end baseline: text chunking, in-memory retrieval, extractive cited answer, abstention path.</w:t>
      </w:r>
    </w:p>
    <w:p>
      <w:pPr>
        <w:spacing w:after="40"/>
        <w:ind w:left="360" w:hanging="259"/>
      </w:pPr>
      <w:r>
        <w:rPr>
          <w:rFonts w:ascii="Calibri" w:hAnsi="Calibri"/>
          <w:color w:val="2A2A2A"/>
          <w:sz w:val="20"/>
        </w:rPr>
        <w:t xml:space="preserve">•  </w:t>
      </w:r>
      <w:r>
        <w:rPr>
          <w:rFonts w:ascii="Calibri" w:hAnsi="Calibri"/>
          <w:b/>
          <w:color w:val="2A2A2A"/>
          <w:sz w:val="20"/>
        </w:rPr>
        <w:t xml:space="preserve">Complete: </w:t>
      </w:r>
      <w:r>
        <w:rPr>
          <w:rFonts w:ascii="Calibri" w:hAnsi="Calibri"/>
          <w:color w:val="2A2A2A"/>
          <w:sz w:val="20"/>
        </w:rPr>
        <w:t>46 tests passing, GitHub Actions CI on every commit (lint + type-check + test).</w:t>
      </w:r>
    </w:p>
    <w:p>
      <w:pPr>
        <w:spacing w:after="40"/>
        <w:ind w:left="360" w:hanging="259"/>
      </w:pPr>
      <w:r>
        <w:rPr>
          <w:rFonts w:ascii="Calibri" w:hAnsi="Calibri"/>
          <w:color w:val="2A2A2A"/>
          <w:sz w:val="20"/>
        </w:rPr>
        <w:t xml:space="preserve">•  </w:t>
      </w:r>
      <w:r>
        <w:rPr>
          <w:rFonts w:ascii="Calibri" w:hAnsi="Calibri"/>
          <w:b/>
          <w:color w:val="2A2A2A"/>
          <w:sz w:val="20"/>
        </w:rPr>
        <w:t xml:space="preserve">Working next: </w:t>
      </w:r>
      <w:r>
        <w:rPr>
          <w:rFonts w:ascii="Calibri" w:hAnsi="Calibri"/>
          <w:color w:val="2A2A2A"/>
          <w:sz w:val="20"/>
        </w:rPr>
        <w:t>Wiring the verifier into HTTP /qa; minimal local file ingestion.</w:t>
      </w:r>
    </w:p>
    <w:p>
      <w:pPr>
        <w:spacing w:after="40"/>
        <w:ind w:left="360" w:hanging="259"/>
      </w:pPr>
      <w:r>
        <w:rPr>
          <w:rFonts w:ascii="Calibri" w:hAnsi="Calibri"/>
          <w:color w:val="2A2A2A"/>
          <w:sz w:val="20"/>
        </w:rPr>
        <w:t xml:space="preserve">•  </w:t>
      </w:r>
      <w:r>
        <w:rPr>
          <w:rFonts w:ascii="Calibri" w:hAnsi="Calibri"/>
          <w:b/>
          <w:color w:val="2A2A2A"/>
          <w:sz w:val="20"/>
        </w:rPr>
        <w:t xml:space="preserve">Planned: </w:t>
      </w:r>
      <w:r>
        <w:rPr>
          <w:rFonts w:ascii="Calibri" w:hAnsi="Calibri"/>
          <w:color w:val="2A2A2A"/>
          <w:sz w:val="20"/>
        </w:rPr>
        <w:t>Docling + GROBID parsing, OpenSearch hybrid retrieval, cross-encoder reranking, vLLM generation, regression-gated eval.</w:t>
      </w:r>
    </w:p>
    <w:p>
      <w:pPr>
        <w:spacing w:before="160" w:after="60"/>
        <w:pBdr>
          <w:bottom w:val="single" w:sz="8" w:space="1" w:color="1F4E79"/>
        </w:pBdr>
      </w:pPr>
      <w:r>
        <w:rPr>
          <w:rFonts w:ascii="Calibri" w:hAnsi="Calibri"/>
          <w:b/>
          <w:color w:val="0B2E4F"/>
          <w:sz w:val="24"/>
        </w:rPr>
        <w:t>WHERE THIS MAPS TO ML PLATFORM / MLOPS</w:t>
      </w:r>
    </w:p>
    <w:p>
      <w:pPr>
        <w:spacing w:after="40"/>
        <w:ind w:left="360" w:hanging="259"/>
      </w:pPr>
      <w:r>
        <w:rPr>
          <w:rFonts w:ascii="Calibri" w:hAnsi="Calibri"/>
          <w:color w:val="2A2A2A"/>
          <w:sz w:val="20"/>
        </w:rPr>
        <w:t>•  Contract-first design with explicit state machines (parse, enrich, search-projection).</w:t>
      </w:r>
    </w:p>
    <w:p>
      <w:pPr>
        <w:spacing w:after="40"/>
        <w:ind w:left="360" w:hanging="259"/>
      </w:pPr>
      <w:r>
        <w:rPr>
          <w:rFonts w:ascii="Calibri" w:hAnsi="Calibri"/>
          <w:color w:val="2A2A2A"/>
          <w:sz w:val="20"/>
        </w:rPr>
        <w:t>•  Versioned ingestion artifacts — parser, chunker, embedding model versions stored on every record so re-indexing decisions are exact.</w:t>
      </w:r>
    </w:p>
    <w:p>
      <w:pPr>
        <w:spacing w:after="40"/>
        <w:ind w:left="360" w:hanging="259"/>
      </w:pPr>
      <w:r>
        <w:rPr>
          <w:rFonts w:ascii="Calibri" w:hAnsi="Calibri"/>
          <w:color w:val="2A2A2A"/>
          <w:sz w:val="20"/>
        </w:rPr>
        <w:t>•  Async enrichment pipeline with idempotent, incremental, deterministic reingestion.</w:t>
      </w:r>
    </w:p>
    <w:p>
      <w:pPr>
        <w:spacing w:after="40"/>
        <w:ind w:left="360" w:hanging="259"/>
      </w:pPr>
      <w:r>
        <w:rPr>
          <w:rFonts w:ascii="Calibri" w:hAnsi="Calibri"/>
          <w:color w:val="2A2A2A"/>
          <w:sz w:val="20"/>
        </w:rPr>
        <w:t>•  Three-layer eval separation (retrieval / answer / ops) with explicit regression thresholds.</w:t>
      </w:r>
    </w:p>
    <w:p>
      <w:pPr>
        <w:spacing w:after="40"/>
        <w:ind w:left="360" w:hanging="259"/>
      </w:pPr>
      <w:r>
        <w:rPr>
          <w:rFonts w:ascii="Calibri" w:hAnsi="Calibri"/>
          <w:color w:val="2A2A2A"/>
          <w:sz w:val="20"/>
        </w:rPr>
        <w:t>•  Production hygiene: typed contracts, CI gating, Apache 2.0, design docs in repo.</w:t>
      </w:r>
    </w:p>
    <w:p>
      <w:pPr>
        <w:spacing w:before="160" w:after="60"/>
        <w:pBdr>
          <w:bottom w:val="single" w:sz="8" w:space="1" w:color="1F4E79"/>
        </w:pBdr>
      </w:pPr>
      <w:r>
        <w:rPr>
          <w:rFonts w:ascii="Calibri" w:hAnsi="Calibri"/>
          <w:b/>
          <w:color w:val="0B2E4F"/>
          <w:sz w:val="24"/>
        </w:rPr>
        <w:t>REPOSITORY &amp; ORIGIN</w:t>
      </w:r>
    </w:p>
    <w:p>
      <w:pPr>
        <w:spacing w:before="0" w:after="40"/>
      </w:pPr>
      <w:r>
        <w:rPr>
          <w:rFonts w:ascii="Calibri" w:hAnsi="Calibri"/>
          <w:b/>
          <w:i w:val="0"/>
          <w:color w:val="1F4E79"/>
          <w:sz w:val="20"/>
        </w:rPr>
        <w:t>github.com/bhaskara10/grounded-rag-sciqa</w:t>
      </w:r>
      <w:r>
        <w:rPr>
          <w:rFonts w:ascii="Calibri" w:hAnsi="Calibri"/>
          <w:b w:val="0"/>
          <w:i w:val="0"/>
          <w:color w:val="2A2A2A"/>
          <w:sz w:val="20"/>
        </w:rPr>
        <w:t xml:space="preserve">  —  Apache 2.0 open source. Started as the NLU course project for the Stanford AI Professional Program; extended into a phased open-source ML system for grounded scientific Q&amp;A.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