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4"/>
        <w:gridCol w:w="7035"/>
      </w:tblGrid>
      <w:tr>
        <w:tc>
          <w:tcPr>
            <w:tcW w:type="dxa" w:w="3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8BDF8"/>
                <w:sz w:val="18"/>
                <w:szCs w:val="18"/>
              </w:rPr>
              <w:t xml:space="preserve">LEAD SYSTEMS ARCHITECT</w:t>
            </w:r>
          </w:p>
          <w:p>
            <w:pPr>
              <w:pBdr>
                <w:bottom w:val="single" w:color="38BDF8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0369A1"/>
                <w:sz w:val="18"/>
                <w:szCs w:val="18"/>
              </w:rPr>
              <w:t xml:space="preserve">+1 555 019 2834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8"/>
                <w:szCs w:val="18"/>
              </w:rPr>
              <w:t xml:space="preserve">Email: </w:t>
            </w:r>
            <w:hyperlink w:history="1" r:id="rIdu-mv5hyywxqe0tlcn9mi0">
              <w:r>
                <w:rPr>
                  <w:rFonts w:ascii="Calibri" w:cs="Calibri" w:eastAsia="Calibri" w:hAnsi="Calibri"/>
                  <w:color w:val="38BDF8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0369A1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8"/>
                <w:szCs w:val="18"/>
              </w:rPr>
              <w:t xml:space="preserve">Web: </w:t>
            </w:r>
            <w:hyperlink w:history="1" r:id="rIdfvtlbo8-sv27_qwc9kbwp">
              <w:r>
                <w:rPr>
                  <w:rFonts w:ascii="Calibri" w:cs="Calibri" w:eastAsia="Calibri" w:hAnsi="Calibri"/>
                  <w:color w:val="38BDF8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369A1"/>
                <w:sz w:val="18"/>
                <w:szCs w:val="18"/>
              </w:rPr>
              <w:t xml:space="preserve">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369A1"/>
                <w:sz w:val="18"/>
                <w:szCs w:val="18"/>
              </w:rPr>
              <w:t xml:space="preserve">Kubernetes &amp; Docker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369A1"/>
                <w:sz w:val="18"/>
                <w:szCs w:val="18"/>
              </w:rPr>
              <w:t xml:space="preserve">Go / Rust / Node.js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369A1"/>
                <w:sz w:val="18"/>
                <w:szCs w:val="18"/>
              </w:rPr>
              <w:t xml:space="preserve">React &amp;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369A1"/>
                <w:sz w:val="18"/>
                <w:szCs w:val="18"/>
              </w:rPr>
              <w:t xml:space="preserve">PostgreSQL &amp; Redis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369A1"/>
                <w:sz w:val="18"/>
                <w:szCs w:val="18"/>
              </w:rPr>
              <w:t xml:space="preserve">Cloud Architecture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0369A1"/>
                <w:sz w:val="18"/>
                <w:szCs w:val="18"/>
              </w:rPr>
              <w:t xml:space="preserve">Open Source Systems  •  Landscape Photography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0369A1"/>
                <w:sz w:val="18"/>
                <w:szCs w:val="18"/>
              </w:rPr>
              <w:t xml:space="preserve">English — Native / Bilingual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0369A1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7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38BDF8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Lead Systems Architect with 12+ years of experience leading engineering squads, authoring architectural designs for high-throughput distributed engines, and scaling cloud microservices.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Principal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0"/>
                <w:szCs w:val="20"/>
              </w:rPr>
              <w:t xml:space="preserve">Google Cloud Platforms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Architected multi-region Kubernetes clusters handling over 500M daily API transactions.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Reduced tail p99 latency by 38% through zero-copy caching and distributed query optimization.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Mentored 15 senior and staff engineers across global developer organizations.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Infrastructure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0"/>
                <w:szCs w:val="20"/>
              </w:rPr>
              <w:t xml:space="preserve">Oracle Cloud Systems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operated high-availability storage gateways with five-nines (99.999%) availability.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Implemented automated CI/CD pipelines, security compliance scans, and chaos engineering testing.</w:t>
            </w:r>
          </w:p>
        </w:tc>
      </w:tr>
    </w:tbl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284C7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284C7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Computing and Operating Systems.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Engineering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284C7"/>
          <w:sz w:val="20"/>
          <w:szCs w:val="20"/>
        </w:rPr>
        <w:t xml:space="preserve">Osmania University</w:t>
      </w:r>
    </w:p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284C7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Cloud Platform</w:t>
      </w:r>
    </w:p>
    <w:p>
      <w:pPr>
        <w:spacing w:before="20" w:after="20"/>
      </w:pPr>
      <w:hyperlink w:history="1" r:id="rId7wrrkansiwlqnlisqxn6i">
        <w:r>
          <w:rPr>
            <w:rFonts w:ascii="Calibri" w:cs="Calibri" w:eastAsia="Calibri" w:hAnsi="Calibri"/>
            <w:b/>
            <w:bCs/>
            <w:color w:val="38BDF8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Enterprise AI career suite supporting high-fidelity multi-format export and real-time layout composition.</w:t>
      </w:r>
    </w:p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284C7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CNCF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u-mv5hyywxqe0tlcn9mi0" Type="http://schemas.openxmlformats.org/officeDocument/2006/relationships/hyperlink" Target="mailto:bhaskar@example.com" TargetMode="External"/><Relationship Id="rIdfvtlbo8-sv27_qwc9kbwp" Type="http://schemas.openxmlformats.org/officeDocument/2006/relationships/hyperlink" Target="https://bhaskarmadala.dev/" TargetMode="External"/><Relationship Id="rId7wrrkansiwlqnlisqxn6i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2026-08-18T06:58:40.255Z</dcterms:created>
  <dcterms:modified xsi:type="dcterms:W3CDTF">2026-08-18T06:58:40.255Z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