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a56db"/>
          <w:sz w:val="96"/>
          <w:szCs w:val="96"/>
        </w:rPr>
        <w:t xml:space="preserve">FALCON</w:t>
      </w:r>
    </w:p>
    <w:p>
      <w:pPr>
        <w:spacing w:before="0" w:after="480"/>
        <w:jc w:val="center"/>
      </w:pPr>
      <w:r>
        <w:rPr>
          <w:rFonts w:ascii="Arial" w:cs="Arial" w:eastAsia="Arial" w:hAnsi="Arial"/>
          <w:i/>
          <w:iCs/>
          <w:color w:val="374151"/>
          <w:sz w:val="28"/>
          <w:szCs w:val="28"/>
        </w:rPr>
        <w:t xml:space="preserve">Federated Adaptive Learning for Collaborative Omni-detection in Networks</w:t>
      </w:r>
    </w:p>
    <w:p>
      <w:pPr>
        <w:pBdr>
          <w:bottom w:val="single" w:color="1a56db" w:sz="6"/>
        </w:pBdr>
        <w:spacing w:before="0" w:after="480"/>
      </w:pPr>
    </w:p>
    <w:p>
      <w:pPr>
        <w:spacing w:before="0" w:after="240"/>
        <w:jc w:val="center"/>
      </w:pPr>
      <w:r>
        <w:rPr>
          <w:rFonts w:ascii="Arial" w:cs="Arial" w:eastAsia="Arial" w:hAnsi="Arial"/>
          <w:b/>
          <w:bCs/>
          <w:color w:val="111827"/>
          <w:sz w:val="32"/>
          <w:szCs w:val="32"/>
        </w:rPr>
        <w:t xml:space="preserve">Technical Architecture &amp; Implementation Report</w:t>
      </w:r>
    </w:p>
    <w:p>
      <w:pPr>
        <w:spacing w:before="0" w:after="80"/>
        <w:jc w:val="center"/>
      </w:pPr>
      <w:r>
        <w:rPr>
          <w:rFonts w:ascii="Arial" w:cs="Arial" w:eastAsia="Arial" w:hAnsi="Arial"/>
          <w:color w:val="6b7280"/>
          <w:sz w:val="24"/>
          <w:szCs w:val="24"/>
        </w:rPr>
        <w:t xml:space="preserve">Final Year Major Project</w:t>
      </w:r>
    </w:p>
    <w:p>
      <w:pPr>
        <w:spacing w:before="0" w:after="600"/>
        <w:jc w:val="center"/>
      </w:pPr>
      <w:r>
        <w:rPr>
          <w:rFonts w:ascii="Arial" w:cs="Arial" w:eastAsia="Arial" w:hAnsi="Arial"/>
          <w:color w:val="6b7280"/>
          <w:sz w:val="22"/>
          <w:szCs w:val="22"/>
        </w:rPr>
        <w:t xml:space="preserve">B.E. Computer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picograd
DL Framework</w:t>
            </w:r>
          </w:p>
        </w:tc>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253K param
AnomalyAE</w:t>
            </w:r>
          </w:p>
        </w:tc>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DP-SGD +
Secure Aggregation</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bCs/>
                <w:color w:val="374151"/>
                <w:sz w:val="20"/>
                <w:szCs w:val="20"/>
              </w:rPr>
              <w:t xml:space="preserve">113/113
Tests Pass</w:t>
            </w:r>
          </w:p>
        </w:tc>
      </w:tr>
    </w:tbl>
    <w:p>
      <w:pPr>
        <w:spacing w:before="40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 Project Overview</w:t>
      </w:r>
    </w:p>
    <w:p>
      <w:pPr>
        <w:spacing w:before="60" w:after="60"/>
        <w:jc w:val="both"/>
      </w:pPr>
      <w:r>
        <w:rPr>
          <w:rFonts w:ascii="Arial" w:cs="Arial" w:eastAsia="Arial" w:hAnsi="Arial"/>
          <w:color w:val="374151"/>
          <w:sz w:val="22"/>
          <w:szCs w:val="22"/>
        </w:rPr>
        <w:t xml:space="preserve">FALCON is a privacy-preserving federated learning framework built entirely from scratch for collaborative anomaly detection in medical imaging. It is powered by picograd — a custom deep learning framework with DAG-based automatic differentiation, implemented in pure Python using only NumPy. No PyTorch, TensorFlow, or Jax dependencies are used anywhere in the core system.</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1.1 Research Motivation &amp; Gaps</w:t>
      </w:r>
    </w:p>
    <w:p>
      <w:pPr>
        <w:spacing w:before="60" w:after="60"/>
        <w:jc w:val="both"/>
      </w:pPr>
      <w:r>
        <w:rPr>
          <w:rFonts w:ascii="Arial" w:cs="Arial" w:eastAsia="Arial" w:hAnsi="Arial"/>
          <w:color w:val="374151"/>
          <w:sz w:val="22"/>
          <w:szCs w:val="22"/>
        </w:rPr>
        <w:t xml:space="preserve">Medical imaging data is highly sensitive and cannot be shared between hospitals due to regulatory constraints (HIPAA, GDPR). Existing federated learning systems suffer from four unresolved research gaps that FALCON directly addresses: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Research Gap</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Existing Limitation</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FALCON Solution</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Scalability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Communication bottleneck with large models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Chunked gRPC streaming + delta compression</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Anomaly focus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Segmentation-centric (U-Net), not anomaly detection</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CNN-AE reconstruction-error anomaly detection</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Resource requirements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GPU required for most frameworks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picograd NumPy backend — CPU only</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Clinical interpretability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Black-box predictions unusable by radiologists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Grad-CAM heatmaps over anomalous regions</w:t>
            </w:r>
          </w:p>
        </w:tc>
      </w:tr>
    </w:tbl>
    <w:p>
      <w:pPr>
        <w:spacing w:before="120" w:after="0"/>
      </w:pPr>
      <w:r>
        <w:t xml:space="preserve"/>
      </w:r>
    </w:p>
    <w:p>
      <w:pPr>
        <w:pStyle w:val="Heading2"/>
        <w:spacing w:before="280" w:after="80"/>
      </w:pPr>
      <w:r>
        <w:rPr>
          <w:rFonts w:ascii="Arial" w:cs="Arial" w:eastAsia="Arial" w:hAnsi="Arial"/>
          <w:b/>
          <w:bCs/>
          <w:color w:val="374151"/>
          <w:sz w:val="28"/>
          <w:szCs w:val="28"/>
        </w:rPr>
        <w:t xml:space="preserve">1.2 Technical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Codebase</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Testing</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Performance</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77 Python files</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bCs/>
                <w:color w:val="374151"/>
                <w:sz w:val="20"/>
                <w:szCs w:val="20"/>
              </w:rPr>
              <w:t xml:space="preserve">113 / 113 tests pass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0.05s per forward pass</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10 JS / JSX files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7 test suites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253K parameter model</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11,017 lines of code</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9 integration tests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 GPU required</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Only NumPy required</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6.6s total test time</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3-client FL demo &lt; 10s</w:t>
            </w:r>
          </w:p>
        </w:tc>
      </w:tr>
    </w:tbl>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2. System Architecture</w:t>
      </w:r>
    </w:p>
    <w:p>
      <w:pPr>
        <w:spacing w:before="60" w:after="60"/>
        <w:jc w:val="both"/>
      </w:pPr>
      <w:r>
        <w:rPr>
          <w:rFonts w:ascii="Arial" w:cs="Arial" w:eastAsia="Arial" w:hAnsi="Arial"/>
          <w:color w:val="374151"/>
          <w:sz w:val="22"/>
          <w:szCs w:val="22"/>
        </w:rPr>
        <w:t xml:space="preserve">FALCON is structured as a layered system with strict upward dependency — each layer builds on the one below without any circular dependencies. This makes every module independently testable and replaceable.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0e9f6e" w:sz="4"/>
              <w:bottom w:val="single" w:color="dde1ec" w:sz="1"/>
              <w:right w:val="single" w:color="dde1ec" w:sz="1"/>
            </w:tcBorders>
            <w:shd w:fill="f0f4ff" w:val="clear"/>
            <w:tcMar>
              <w:top w:type="dxa" w:w="120"/>
              <w:left w:type="dxa" w:w="200"/>
              <w:bottom w:type="dxa" w:w="120"/>
              <w:right w:type="dxa" w:w="200"/>
            </w:tcMar>
          </w:tcPr>
          <w:p>
            <w:pPr>
              <w:spacing w:before="80" w:after="60"/>
            </w:pPr>
            <w:r>
              <w:rPr>
                <w:rFonts w:ascii="Arial" w:cs="Arial" w:eastAsia="Arial" w:hAnsi="Arial"/>
                <w:b/>
                <w:bCs/>
                <w:color w:val="1a56db"/>
                <w:sz w:val="22"/>
                <w:szCs w:val="22"/>
              </w:rPr>
              <w:t xml:space="preserve">Architecture Stack (bottom to top)</w:t>
            </w:r>
          </w:p>
          <w:p>
            <w:pPr>
              <w:spacing w:before="30" w:after="30"/>
            </w:pPr>
            <w:r>
              <w:rPr>
                <w:rFonts w:ascii="Arial" w:cs="Arial" w:eastAsia="Arial" w:hAnsi="Arial"/>
                <w:color w:val="374151"/>
                <w:sz w:val="20"/>
                <w:szCs w:val="20"/>
              </w:rPr>
              <w:t xml:space="preserve">Layer 1  —  picograd Backend (NumpyBackend / future TritonBackend)</w:t>
            </w:r>
          </w:p>
          <w:p>
            <w:pPr>
              <w:spacing w:before="30" w:after="30"/>
            </w:pPr>
            <w:r>
              <w:rPr>
                <w:rFonts w:ascii="Arial" w:cs="Arial" w:eastAsia="Arial" w:hAnsi="Arial"/>
                <w:color w:val="374151"/>
                <w:sz w:val="20"/>
                <w:szCs w:val="20"/>
              </w:rPr>
              <w:t xml:space="preserve">Layer 2  —  Autograd Engine (DAG construction, topological sort, backward pass)</w:t>
            </w:r>
          </w:p>
          <w:p>
            <w:pPr>
              <w:spacing w:before="30" w:after="30"/>
            </w:pPr>
            <w:r>
              <w:rPr>
                <w:rFonts w:ascii="Arial" w:cs="Arial" w:eastAsia="Arial" w:hAnsi="Arial"/>
                <w:color w:val="374151"/>
                <w:sz w:val="20"/>
                <w:szCs w:val="20"/>
              </w:rPr>
              <w:t xml:space="preserve">Layer 3  —  Operations Library (45+ differentiable ops: conv, norm, activations)</w:t>
            </w:r>
          </w:p>
          <w:p>
            <w:pPr>
              <w:spacing w:before="30" w:after="30"/>
            </w:pPr>
            <w:r>
              <w:rPr>
                <w:rFonts w:ascii="Arial" w:cs="Arial" w:eastAsia="Arial" w:hAnsi="Arial"/>
                <w:color w:val="374151"/>
                <w:sz w:val="20"/>
                <w:szCs w:val="20"/>
              </w:rPr>
              <w:t xml:space="preserve">Layer 4  —  nn.Module System (layers, losses, containers)</w:t>
            </w:r>
          </w:p>
          <w:p>
            <w:pPr>
              <w:spacing w:before="30" w:after="30"/>
            </w:pPr>
            <w:r>
              <w:rPr>
                <w:rFonts w:ascii="Arial" w:cs="Arial" w:eastAsia="Arial" w:hAnsi="Arial"/>
                <w:color w:val="374151"/>
                <w:sz w:val="20"/>
                <w:szCs w:val="20"/>
              </w:rPr>
              <w:t xml:space="preserve">Layer 5  —  Training Infrastructure (optimizers, schedulers, DataLoader)</w:t>
            </w:r>
          </w:p>
          <w:p>
            <w:pPr>
              <w:spacing w:before="30" w:after="30"/>
            </w:pPr>
            <w:r>
              <w:rPr>
                <w:rFonts w:ascii="Arial" w:cs="Arial" w:eastAsia="Arial" w:hAnsi="Arial"/>
                <w:color w:val="374151"/>
                <w:sz w:val="20"/>
                <w:szCs w:val="20"/>
              </w:rPr>
              <w:t xml:space="preserve">Layer 6  —  Models (AnomalyAE, DenseClassifier, LeNet5)</w:t>
            </w:r>
          </w:p>
          <w:p>
            <w:pPr>
              <w:spacing w:before="30" w:after="30"/>
            </w:pPr>
            <w:r>
              <w:rPr>
                <w:rFonts w:ascii="Arial" w:cs="Arial" w:eastAsia="Arial" w:hAnsi="Arial"/>
                <w:color w:val="374151"/>
                <w:sz w:val="20"/>
                <w:szCs w:val="20"/>
              </w:rPr>
              <w:t xml:space="preserve">Layer 7  —  Privacy (DPOptimizer, RDPAccountant, Secure Aggregation)</w:t>
            </w:r>
          </w:p>
          <w:p>
            <w:pPr>
              <w:spacing w:before="30" w:after="30"/>
            </w:pPr>
            <w:r>
              <w:rPr>
                <w:rFonts w:ascii="Arial" w:cs="Arial" w:eastAsia="Arial" w:hAnsi="Arial"/>
                <w:color w:val="374151"/>
                <w:sz w:val="20"/>
                <w:szCs w:val="20"/>
              </w:rPr>
              <w:t xml:space="preserve">Layer 8  —  FL Pipeline (FedAvg, Aggregator, SiteClient)</w:t>
            </w:r>
          </w:p>
          <w:p>
            <w:pPr>
              <w:spacing w:before="30" w:after="30"/>
            </w:pPr>
            <w:r>
              <w:rPr>
                <w:rFonts w:ascii="Arial" w:cs="Arial" w:eastAsia="Arial" w:hAnsi="Arial"/>
                <w:color w:val="374151"/>
                <w:sz w:val="20"/>
                <w:szCs w:val="20"/>
              </w:rPr>
              <w:t xml:space="preserve">Layer 9  —  Dashboard (MetricsStore, Flask REST, WebSocket, React frontend)</w:t>
            </w:r>
          </w:p>
          <w:p>
            <w:pPr>
              <w:spacing w:before="30" w:after="30"/>
            </w:pPr>
            <w:r>
              <w:rPr>
                <w:rFonts w:ascii="Arial" w:cs="Arial" w:eastAsia="Arial" w:hAnsi="Arial"/>
                <w:color w:val="374151"/>
                <w:sz w:val="20"/>
                <w:szCs w:val="20"/>
              </w:rPr>
              <w:t xml:space="preserve">Layer 10 —  Deployment (Docker, docker-compose, gRPC server)</w:t>
            </w:r>
          </w:p>
        </w:tc>
      </w:tr>
    </w:tbl>
    <w:p>
      <w:pPr>
        <w:spacing w:before="120" w:after="0"/>
      </w:pPr>
      <w:r>
        <w:t xml:space="preserve"/>
      </w:r>
    </w:p>
    <w:p>
      <w:pPr>
        <w:pStyle w:val="Heading2"/>
        <w:spacing w:before="280" w:after="80"/>
      </w:pPr>
      <w:r>
        <w:rPr>
          <w:rFonts w:ascii="Arial" w:cs="Arial" w:eastAsia="Arial" w:hAnsi="Arial"/>
          <w:b/>
          <w:bCs/>
          <w:color w:val="374151"/>
          <w:sz w:val="28"/>
          <w:szCs w:val="28"/>
        </w:rPr>
        <w:t xml:space="preserve">2.1 Module Dependency Graph</w:t>
      </w:r>
    </w:p>
    <w:p>
      <w:pPr>
        <w:shd w:fill="f1f5f9" w:val="clear"/>
        <w:spacing w:before="40" w:after="40"/>
        <w:ind w:left="360"/>
      </w:pPr>
      <w:r>
        <w:rPr>
          <w:rFonts w:ascii="Courier New" w:cs="Courier New" w:eastAsia="Courier New" w:hAnsi="Courier New"/>
          <w:color w:val="0f172a"/>
          <w:sz w:val="18"/>
          <w:szCs w:val="18"/>
        </w:rPr>
        <w:t xml:space="preserve">picograd/__init__.py</w:t>
      </w:r>
    </w:p>
    <w:p>
      <w:pPr>
        <w:shd w:fill="f1f5f9" w:val="clear"/>
        <w:spacing w:before="40" w:after="40"/>
        <w:ind w:left="360"/>
      </w:pPr>
      <w:r>
        <w:rPr>
          <w:rFonts w:ascii="Courier New" w:cs="Courier New" w:eastAsia="Courier New" w:hAnsi="Courier New"/>
          <w:color w:val="0f172a"/>
          <w:sz w:val="18"/>
          <w:szCs w:val="18"/>
        </w:rPr>
        <w:t xml:space="preserve">    ├── backend/ (NumpyBackend)     ← no dependencies</w:t>
      </w:r>
    </w:p>
    <w:p>
      <w:pPr>
        <w:shd w:fill="f1f5f9" w:val="clear"/>
        <w:spacing w:before="40" w:after="40"/>
        <w:ind w:left="360"/>
      </w:pPr>
      <w:r>
        <w:rPr>
          <w:rFonts w:ascii="Courier New" w:cs="Courier New" w:eastAsia="Courier New" w:hAnsi="Courier New"/>
          <w:color w:val="0f172a"/>
          <w:sz w:val="18"/>
          <w:szCs w:val="18"/>
        </w:rPr>
        <w:t xml:space="preserve">    ├── autograd/ (engine, DAG)      ← depends on backend</w:t>
      </w:r>
    </w:p>
    <w:p>
      <w:pPr>
        <w:shd w:fill="f1f5f9" w:val="clear"/>
        <w:spacing w:before="40" w:after="40"/>
        <w:ind w:left="360"/>
      </w:pPr>
      <w:r>
        <w:rPr>
          <w:rFonts w:ascii="Courier New" w:cs="Courier New" w:eastAsia="Courier New" w:hAnsi="Courier New"/>
          <w:color w:val="0f172a"/>
          <w:sz w:val="18"/>
          <w:szCs w:val="18"/>
        </w:rPr>
        <w:t xml:space="preserve">    ├── ops/ (45+ functions)          ← depends on autograd</w:t>
      </w:r>
    </w:p>
    <w:p>
      <w:pPr>
        <w:shd w:fill="f1f5f9" w:val="clear"/>
        <w:spacing w:before="40" w:after="40"/>
        <w:ind w:left="360"/>
      </w:pPr>
      <w:r>
        <w:rPr>
          <w:rFonts w:ascii="Courier New" w:cs="Courier New" w:eastAsia="Courier New" w:hAnsi="Courier New"/>
          <w:color w:val="0f172a"/>
          <w:sz w:val="18"/>
          <w:szCs w:val="18"/>
        </w:rPr>
        <w:t xml:space="preserve">    ├── nn/ (layers, losses)          ← depends on ops</w:t>
      </w:r>
    </w:p>
    <w:p>
      <w:pPr>
        <w:shd w:fill="f1f5f9" w:val="clear"/>
        <w:spacing w:before="40" w:after="40"/>
        <w:ind w:left="360"/>
      </w:pPr>
      <w:r>
        <w:rPr>
          <w:rFonts w:ascii="Courier New" w:cs="Courier New" w:eastAsia="Courier New" w:hAnsi="Courier New"/>
          <w:color w:val="0f172a"/>
          <w:sz w:val="18"/>
          <w:szCs w:val="18"/>
        </w:rPr>
        <w:t xml:space="preserve">    ├── optim/ (SGD, Adam, ...)       ← depends on nn</w:t>
      </w:r>
    </w:p>
    <w:p>
      <w:pPr>
        <w:shd w:fill="f1f5f9" w:val="clear"/>
        <w:spacing w:before="40" w:after="40"/>
        <w:ind w:left="360"/>
      </w:pPr>
      <w:r>
        <w:rPr>
          <w:rFonts w:ascii="Courier New" w:cs="Courier New" w:eastAsia="Courier New" w:hAnsi="Courier New"/>
          <w:color w:val="0f172a"/>
          <w:sz w:val="18"/>
          <w:szCs w:val="18"/>
        </w:rPr>
        <w:t xml:space="preserve">    ├── data/ (DataLoader, MedMNIST)  ← depends on tensor</w:t>
      </w:r>
    </w:p>
    <w:p>
      <w:pPr>
        <w:shd w:fill="f1f5f9" w:val="clear"/>
        <w:spacing w:before="40" w:after="40"/>
        <w:ind w:left="360"/>
      </w:pPr>
      <w:r>
        <w:rPr>
          <w:rFonts w:ascii="Courier New" w:cs="Courier New" w:eastAsia="Courier New" w:hAnsi="Courier New"/>
          <w:color w:val="0f172a"/>
          <w:sz w:val="18"/>
          <w:szCs w:val="18"/>
        </w:rPr>
        <w:t xml:space="preserve">    ├── models/ (AnomalyAE, ...)      ← depends on nn</w:t>
      </w:r>
    </w:p>
    <w:p>
      <w:pPr>
        <w:shd w:fill="f1f5f9" w:val="clear"/>
        <w:spacing w:before="40" w:after="40"/>
        <w:ind w:left="360"/>
      </w:pPr>
      <w:r>
        <w:rPr>
          <w:rFonts w:ascii="Courier New" w:cs="Courier New" w:eastAsia="Courier New" w:hAnsi="Courier New"/>
          <w:color w:val="0f172a"/>
          <w:sz w:val="18"/>
          <w:szCs w:val="18"/>
        </w:rPr>
        <w:t xml:space="preserve">    ├── explain/ (GradCAM)            ← depends on models</w:t>
      </w:r>
    </w:p>
    <w:p>
      <w:pPr>
        <w:shd w:fill="f1f5f9" w:val="clear"/>
        <w:spacing w:before="40" w:after="40"/>
        <w:ind w:left="360"/>
      </w:pPr>
      <w:r>
        <w:rPr>
          <w:rFonts w:ascii="Courier New" w:cs="Courier New" w:eastAsia="Courier New" w:hAnsi="Courier New"/>
          <w:color w:val="0f172a"/>
          <w:sz w:val="18"/>
          <w:szCs w:val="18"/>
        </w:rPr>
        <w:t xml:space="preserve">    └── privacy/ (DP, RDP)            ← depends on optim</w:t>
      </w:r>
    </w:p>
    <w:p>
      <w:pPr>
        <w:shd w:fill="f1f5f9" w:val="clear"/>
        <w:spacing w:before="40" w:after="40"/>
        <w:ind w:left="360"/>
      </w:pPr>
      <w:r>
        <w:rPr>
          <w:rFonts w:ascii="Courier New" w:cs="Courier New" w:eastAsia="Courier New" w:hAnsi="Courier New"/>
          <w:color w:val="0f172a"/>
          <w:sz w:val="18"/>
          <w:szCs w:val="18"/>
        </w:rPr>
        <w:t xml:space="preserve">server/  ← depends on picograd + privacy</w:t>
      </w:r>
    </w:p>
    <w:p>
      <w:pPr>
        <w:shd w:fill="f1f5f9" w:val="clear"/>
        <w:spacing w:before="40" w:after="40"/>
        <w:ind w:left="360"/>
      </w:pPr>
      <w:r>
        <w:rPr>
          <w:rFonts w:ascii="Courier New" w:cs="Courier New" w:eastAsia="Courier New" w:hAnsi="Courier New"/>
          <w:color w:val="0f172a"/>
          <w:sz w:val="18"/>
          <w:szCs w:val="18"/>
        </w:rPr>
        <w:t xml:space="preserve">client/  ← depends on picograd + server</w:t>
      </w:r>
    </w:p>
    <w:p>
      <w:pPr>
        <w:shd w:fill="f1f5f9" w:val="clear"/>
        <w:spacing w:before="40" w:after="40"/>
        <w:ind w:left="360"/>
      </w:pPr>
      <w:r>
        <w:rPr>
          <w:rFonts w:ascii="Courier New" w:cs="Courier New" w:eastAsia="Courier New" w:hAnsi="Courier New"/>
          <w:color w:val="0f172a"/>
          <w:sz w:val="18"/>
          <w:szCs w:val="18"/>
        </w:rPr>
        <w:t xml:space="preserve">falcon/  ← depends on picograd (data partitioning)</w:t>
      </w:r>
    </w:p>
    <w:p>
      <w:pPr>
        <w:shd w:fill="f1f5f9" w:val="clear"/>
        <w:spacing w:before="40" w:after="40"/>
        <w:ind w:left="360"/>
      </w:pPr>
      <w:r>
        <w:rPr>
          <w:rFonts w:ascii="Courier New" w:cs="Courier New" w:eastAsia="Courier New" w:hAnsi="Courier New"/>
          <w:color w:val="0f172a"/>
          <w:sz w:val="18"/>
          <w:szCs w:val="18"/>
        </w:rPr>
        <w:t xml:space="preserve">dashboard/backend/  ← depends on server + picograd.models</w:t>
      </w:r>
    </w:p>
    <w:p>
      <w:pPr>
        <w:shd w:fill="f1f5f9" w:val="clear"/>
        <w:spacing w:before="40" w:after="40"/>
        <w:ind w:left="360"/>
      </w:pPr>
      <w:r>
        <w:rPr>
          <w:rFonts w:ascii="Courier New" w:cs="Courier New" w:eastAsia="Courier New" w:hAnsi="Courier New"/>
          <w:color w:val="0f172a"/>
          <w:sz w:val="18"/>
          <w:szCs w:val="18"/>
        </w:rPr>
        <w:t xml:space="preserve">dashboard/frontend/ ← React SPA (no picograd dependency)</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3. Module 1 — picograd Core Engine</w:t>
      </w:r>
    </w:p>
    <w:p>
      <w:pPr>
        <w:spacing w:before="60" w:after="60"/>
        <w:jc w:val="both"/>
      </w:pPr>
      <w:r>
        <w:rPr>
          <w:rFonts w:ascii="Arial" w:cs="Arial" w:eastAsia="Arial" w:hAnsi="Arial"/>
          <w:color w:val="374151"/>
          <w:sz w:val="22"/>
          <w:szCs w:val="22"/>
        </w:rPr>
        <w:t xml:space="preserve">picograd is a complete from-scratch deep learning framework. It was built to demonstrate systems-level understanding: every gradient, every optimization step, every convolution is implemented and inspectable. The architecture directly parallels PyTorch's design but is implemented entirely in Python + NumPy.</w:t>
      </w:r>
    </w:p>
    <w:p>
      <w:pPr>
        <w:spacing w:before="80" w:after="0"/>
      </w:pPr>
      <w:r>
        <w:t xml:space="preserve"/>
      </w:r>
    </w:p>
    <w:p>
      <w:pPr>
        <w:pStyle w:val="Heading2"/>
        <w:spacing w:before="280" w:after="80"/>
      </w:pPr>
      <w:r>
        <w:rPr>
          <w:rFonts w:ascii="Arial" w:cs="Arial" w:eastAsia="Arial" w:hAnsi="Arial"/>
          <w:b/>
          <w:bCs/>
          <w:color w:val="374151"/>
          <w:sz w:val="28"/>
          <w:szCs w:val="28"/>
        </w:rPr>
        <w:t xml:space="preserve">3.1 Backend Abstraction Layer</w:t>
      </w:r>
    </w:p>
    <w:p>
      <w:pPr>
        <w:spacing w:before="60" w:after="60"/>
        <w:jc w:val="both"/>
      </w:pPr>
      <w:r>
        <w:rPr>
          <w:rFonts w:ascii="Arial" w:cs="Arial" w:eastAsia="Arial" w:hAnsi="Arial"/>
          <w:color w:val="374151"/>
          <w:sz w:val="22"/>
          <w:szCs w:val="22"/>
        </w:rPr>
        <w:t xml:space="preserve">The Backend ABC (Abstract Base Class) defines a dispatch table of ~45 abstract methods covering creation, elementwise operations, reductions, linear algebra, shape manipulation, indexing, and random number generation. The NumpyBackend implements every method as a thin wrapper over NumPy. This design allows swapping to a TritonBackend or CudaBackend in a single line:</w:t>
      </w:r>
    </w:p>
    <w:p>
      <w:pPr>
        <w:spacing w:before="40" w:after="0"/>
      </w:pPr>
      <w:r>
        <w:t xml:space="preserve"/>
      </w:r>
    </w:p>
    <w:p>
      <w:pPr>
        <w:shd w:fill="f1f5f9" w:val="clear"/>
        <w:spacing w:before="40" w:after="40"/>
        <w:ind w:left="360"/>
      </w:pPr>
      <w:r>
        <w:rPr>
          <w:rFonts w:ascii="Courier New" w:cs="Courier New" w:eastAsia="Courier New" w:hAnsi="Courier New"/>
          <w:color w:val="0f172a"/>
          <w:sz w:val="18"/>
          <w:szCs w:val="18"/>
        </w:rPr>
        <w:t xml:space="preserve">picograd.set_backend(TritonBackend())   # future GPU backend</w:t>
      </w:r>
    </w:p>
    <w:p>
      <w:pPr>
        <w:spacing w:before="40" w:after="0"/>
      </w:pPr>
      <w:r>
        <w:t xml:space="preserve"/>
      </w:r>
    </w:p>
    <w:p>
      <w:pPr>
        <w:spacing w:before="60" w:after="60"/>
        <w:jc w:val="both"/>
      </w:pPr>
      <w:r>
        <w:rPr>
          <w:rFonts w:ascii="Arial" w:cs="Arial" w:eastAsia="Arial" w:hAnsi="Arial"/>
          <w:color w:val="374151"/>
          <w:sz w:val="22"/>
          <w:szCs w:val="22"/>
        </w:rPr>
        <w:t xml:space="preserve">This is the key architectural decision that makes picograd forward-compatible: no code above the backend layer imports NumPy directly.</w:t>
      </w:r>
    </w:p>
    <w:p>
      <w:pPr>
        <w:spacing w:before="80" w:after="0"/>
      </w:pPr>
      <w:r>
        <w:t xml:space="preserve"/>
      </w:r>
    </w:p>
    <w:p>
      <w:pPr>
        <w:pStyle w:val="Heading2"/>
        <w:spacing w:before="280" w:after="80"/>
      </w:pPr>
      <w:r>
        <w:rPr>
          <w:rFonts w:ascii="Arial" w:cs="Arial" w:eastAsia="Arial" w:hAnsi="Arial"/>
          <w:b/>
          <w:bCs/>
          <w:color w:val="374151"/>
          <w:sz w:val="28"/>
          <w:szCs w:val="28"/>
        </w:rPr>
        <w:t xml:space="preserve">3.2 Autograd DAG Engine</w:t>
      </w:r>
    </w:p>
    <w:p>
      <w:pPr>
        <w:spacing w:before="60" w:after="60"/>
        <w:jc w:val="both"/>
      </w:pPr>
      <w:r>
        <w:rPr>
          <w:rFonts w:ascii="Arial" w:cs="Arial" w:eastAsia="Arial" w:hAnsi="Arial"/>
          <w:color w:val="374151"/>
          <w:sz w:val="22"/>
          <w:szCs w:val="22"/>
        </w:rPr>
        <w:t xml:space="preserve">The automatic differentiation engine implements reverse-mode backpropagation using a dynamically-constructed Directed Acyclic Graph (DAG). Every operation creates a Node that stores:</w:t>
      </w:r>
    </w:p>
    <w:p>
      <w:pPr>
        <w:pStyle w:val="ListParagraph"/>
        <w:numPr>
          <w:ilvl w:val="0"/>
          <w:numId w:val="2"/>
        </w:numPr>
        <w:spacing w:before="40" w:after="40"/>
      </w:pPr>
      <w:r>
        <w:rPr>
          <w:rFonts w:ascii="Arial" w:cs="Arial" w:eastAsia="Arial" w:hAnsi="Arial"/>
          <w:b w:val="false"/>
          <w:bCs w:val="false"/>
          <w:color w:val="374151"/>
          <w:sz w:val="22"/>
          <w:szCs w:val="22"/>
        </w:rPr>
        <w:t xml:space="preserve">The Function class (operation type)</w:t>
      </w:r>
    </w:p>
    <w:p>
      <w:pPr>
        <w:pStyle w:val="ListParagraph"/>
        <w:numPr>
          <w:ilvl w:val="0"/>
          <w:numId w:val="2"/>
        </w:numPr>
        <w:spacing w:before="40" w:after="40"/>
      </w:pPr>
      <w:r>
        <w:rPr>
          <w:rFonts w:ascii="Arial" w:cs="Arial" w:eastAsia="Arial" w:hAnsi="Arial"/>
          <w:b w:val="false"/>
          <w:bCs w:val="false"/>
          <w:color w:val="374151"/>
          <w:sz w:val="22"/>
          <w:szCs w:val="22"/>
        </w:rPr>
        <w:t xml:space="preserve">A Context object with tensors/metadata saved during forward pass</w:t>
      </w:r>
    </w:p>
    <w:p>
      <w:pPr>
        <w:pStyle w:val="ListParagraph"/>
        <w:numPr>
          <w:ilvl w:val="0"/>
          <w:numId w:val="2"/>
        </w:numPr>
        <w:spacing w:before="40" w:after="40"/>
      </w:pPr>
      <w:r>
        <w:rPr>
          <w:rFonts w:ascii="Arial" w:cs="Arial" w:eastAsia="Arial" w:hAnsi="Arial"/>
          <w:b w:val="false"/>
          <w:bCs w:val="false"/>
          <w:color w:val="374151"/>
          <w:sz w:val="22"/>
          <w:szCs w:val="22"/>
        </w:rPr>
        <w:t xml:space="preserve">References to parent nodes (inputs that contributed to this output)</w:t>
      </w:r>
    </w:p>
    <w:p>
      <w:pPr>
        <w:spacing w:before="40" w:after="0"/>
      </w:pPr>
      <w:r>
        <w:t xml:space="preserve"/>
      </w:r>
    </w:p>
    <w:p>
      <w:pPr>
        <w:spacing w:before="60" w:after="60"/>
        <w:jc w:val="both"/>
      </w:pPr>
      <w:r>
        <w:rPr>
          <w:rFonts w:ascii="Arial" w:cs="Arial" w:eastAsia="Arial" w:hAnsi="Arial"/>
          <w:color w:val="374151"/>
          <w:sz w:val="22"/>
          <w:szCs w:val="22"/>
        </w:rPr>
        <w:t xml:space="preserve">The backward pass performs an iterative topological sort (reverse DFS) and walks nodes in reverse order, calling each Function's backward() method and routing gradients back to leaf tensors. Fan-out (a tensor used multiple times) is handled by gradient accumulation.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0e9f6e" w:sz="4"/>
              <w:bottom w:val="single" w:color="dde1ec" w:sz="1"/>
              <w:right w:val="single" w:color="dde1ec" w:sz="1"/>
            </w:tcBorders>
            <w:shd w:fill="f0fdf4" w:val="clear"/>
            <w:tcMar>
              <w:top w:type="dxa" w:w="120"/>
              <w:left w:type="dxa" w:w="200"/>
              <w:bottom w:type="dxa" w:w="120"/>
              <w:right w:type="dxa" w:w="200"/>
            </w:tcMar>
          </w:tcPr>
          <w:p>
            <w:pPr>
              <w:spacing w:before="80" w:after="60"/>
            </w:pPr>
            <w:r>
              <w:rPr>
                <w:rFonts w:ascii="Arial" w:cs="Arial" w:eastAsia="Arial" w:hAnsi="Arial"/>
                <w:b/>
                <w:bCs/>
                <w:color w:val="1a56db"/>
                <w:sz w:val="22"/>
                <w:szCs w:val="22"/>
              </w:rPr>
              <w:t xml:space="preserve">Verified gradient properties</w:t>
            </w:r>
          </w:p>
          <w:p>
            <w:pPr>
              <w:spacing w:before="30" w:after="30"/>
            </w:pPr>
            <w:r>
              <w:rPr>
                <w:rFonts w:ascii="Arial" w:cs="Arial" w:eastAsia="Arial" w:hAnsi="Arial"/>
                <w:color w:val="374151"/>
                <w:sz w:val="20"/>
                <w:szCs w:val="20"/>
              </w:rPr>
              <w:t xml:space="preserve">d(x*x)/dx at x=3 → 6.0  (verified)</w:t>
            </w:r>
          </w:p>
          <w:p>
            <w:pPr>
              <w:spacing w:before="30" w:after="30"/>
            </w:pPr>
            <w:r>
              <w:rPr>
                <w:rFonts w:ascii="Arial" w:cs="Arial" w:eastAsia="Arial" w:hAnsi="Arial"/>
                <w:color w:val="374151"/>
                <w:sz w:val="20"/>
                <w:szCs w:val="20"/>
              </w:rPr>
              <w:t xml:space="preserve">Chain rule: d/dx[(x+2)(x+3)] at x=1 → 7.0  (verified)</w:t>
            </w:r>
          </w:p>
          <w:p>
            <w:pPr>
              <w:spacing w:before="30" w:after="30"/>
            </w:pPr>
            <w:r>
              <w:rPr>
                <w:rFonts w:ascii="Arial" w:cs="Arial" w:eastAsia="Arial" w:hAnsi="Arial"/>
                <w:color w:val="374151"/>
                <w:sz w:val="20"/>
                <w:szCs w:val="20"/>
              </w:rPr>
              <w:t xml:space="preserve">Fan-out: d/dx[x+x] = 2.0  (verified)</w:t>
            </w:r>
          </w:p>
          <w:p>
            <w:pPr>
              <w:spacing w:before="30" w:after="30"/>
            </w:pPr>
            <w:r>
              <w:rPr>
                <w:rFonts w:ascii="Arial" w:cs="Arial" w:eastAsia="Arial" w:hAnsi="Arial"/>
                <w:color w:val="374151"/>
                <w:sz w:val="20"/>
                <w:szCs w:val="20"/>
              </w:rPr>
              <w:t xml:space="preserve">Broadcast un-reduction: (3,1)*(3,4) → correct grad shapes  (verified)</w:t>
            </w:r>
          </w:p>
          <w:p>
            <w:pPr>
              <w:spacing w:before="30" w:after="30"/>
            </w:pPr>
            <w:r>
              <w:rPr>
                <w:rFonts w:ascii="Arial" w:cs="Arial" w:eastAsia="Arial" w:hAnsi="Arial"/>
                <w:color w:val="374151"/>
                <w:sz w:val="20"/>
                <w:szCs w:val="20"/>
              </w:rPr>
              <w:t xml:space="preserve">no_grad context: suppresses all graph construction  (verified)</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3.3 Tensor Class</w:t>
      </w:r>
    </w:p>
    <w:p>
      <w:pPr>
        <w:spacing w:before="60" w:after="60"/>
        <w:jc w:val="both"/>
      </w:pPr>
      <w:r>
        <w:rPr>
          <w:rFonts w:ascii="Arial" w:cs="Arial" w:eastAsia="Arial" w:hAnsi="Arial"/>
          <w:color w:val="374151"/>
          <w:sz w:val="22"/>
          <w:szCs w:val="22"/>
        </w:rPr>
        <w:t xml:space="preserve">The Tensor class wraps a backend array and integrates seamlessly with the autograd engine. It implements all Python operator overloads (__add__, __mul__, __matmul__, etc.), shape operations, reduction operations, and indexing — all wiring through the autograd DAG when requires_grad=True. Dtype is preserved (float32 for efficiency, float64 for gradcheck precision).</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4. Module 2 — Operations Library</w:t>
      </w:r>
    </w:p>
    <w:p>
      <w:pPr>
        <w:spacing w:before="60" w:after="60"/>
        <w:jc w:val="both"/>
      </w:pPr>
      <w:r>
        <w:rPr>
          <w:rFonts w:ascii="Arial" w:cs="Arial" w:eastAsia="Arial" w:hAnsi="Arial"/>
          <w:color w:val="374151"/>
          <w:sz w:val="22"/>
          <w:szCs w:val="22"/>
        </w:rPr>
        <w:t xml:space="preserve">Every differentiable operation is implemented as a Function subclass with forward() and backward() methods. All 22 operation tests pass gradcheck (numerical finite-difference verification against analytical gradients).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4.1 Elementwise Operations</w:t>
      </w:r>
    </w:p>
    <w:p>
      <w:pPr>
        <w:spacing w:before="60" w:after="60"/>
        <w:jc w:val="both"/>
      </w:pPr>
      <w:r>
        <w:rPr>
          <w:rFonts w:ascii="Arial" w:cs="Arial" w:eastAsia="Arial" w:hAnsi="Arial"/>
          <w:color w:val="374151"/>
          <w:sz w:val="22"/>
          <w:szCs w:val="22"/>
        </w:rPr>
        <w:t xml:space="preserve">Add, Sub, Mul, Div, Neg, Pow, Exp, Log, Abs, Sqrt, Clip — all implemented with correct broadcasting support. The _unbroadcast() helper sums gradients back over added/expanded dimensions to reverse NumPy broadcasting semantics.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4.2 Convolution (im2col)</w:t>
      </w:r>
    </w:p>
    <w:p>
      <w:pPr>
        <w:spacing w:before="60" w:after="60"/>
        <w:jc w:val="both"/>
      </w:pPr>
      <w:r>
        <w:rPr>
          <w:rFonts w:ascii="Arial" w:cs="Arial" w:eastAsia="Arial" w:hAnsi="Arial"/>
          <w:color w:val="374151"/>
          <w:sz w:val="22"/>
          <w:szCs w:val="22"/>
        </w:rPr>
        <w:t xml:space="preserve">Conv2d is implemented using the im2col approach: input patches are unrolled into a 2D matrix, transforming convolution into a single matrix multiply. This leverages NumPy's BLAS-accelerated matmul and achieves ~50ms per forward pass on 28x28 images.</w:t>
      </w:r>
    </w:p>
    <w:p>
      <w:pPr>
        <w:spacing w:before="40" w:after="0"/>
      </w:pPr>
      <w:r>
        <w:t xml:space="preserve"/>
      </w:r>
    </w:p>
    <w:p>
      <w:pPr>
        <w:shd w:fill="f1f5f9" w:val="clear"/>
        <w:spacing w:before="40" w:after="40"/>
        <w:ind w:left="360"/>
      </w:pPr>
      <w:r>
        <w:rPr>
          <w:rFonts w:ascii="Courier New" w:cs="Courier New" w:eastAsia="Courier New" w:hAnsi="Courier New"/>
          <w:color w:val="0f172a"/>
          <w:sz w:val="18"/>
          <w:szCs w:val="18"/>
        </w:rPr>
        <w:t xml:space="preserve">im2col: (N, C, H, W) → (N, C*kH*kW, H_out*W_out)</w:t>
      </w:r>
    </w:p>
    <w:p>
      <w:pPr>
        <w:shd w:fill="f1f5f9" w:val="clear"/>
        <w:spacing w:before="40" w:after="40"/>
        <w:ind w:left="360"/>
      </w:pPr>
      <w:r>
        <w:rPr>
          <w:rFonts w:ascii="Courier New" w:cs="Courier New" w:eastAsia="Courier New" w:hAnsi="Courier New"/>
          <w:color w:val="0f172a"/>
          <w:sz w:val="18"/>
          <w:szCs w:val="18"/>
        </w:rPr>
        <w:t xml:space="preserve">forward: X_col @ W_col^T → (N, C_out, H_out, W_out)</w:t>
      </w:r>
    </w:p>
    <w:p>
      <w:pPr>
        <w:shd w:fill="f1f5f9" w:val="clear"/>
        <w:spacing w:before="40" w:after="40"/>
        <w:ind w:left="360"/>
      </w:pPr>
      <w:r>
        <w:rPr>
          <w:rFonts w:ascii="Courier New" w:cs="Courier New" w:eastAsia="Courier New" w:hAnsi="Courier New"/>
          <w:color w:val="0f172a"/>
          <w:sz w:val="18"/>
          <w:szCs w:val="18"/>
        </w:rPr>
        <w:t xml:space="preserve">backward: grad_weight via ΣN [grad_2d[n] @ col[n]^T]</w:t>
      </w:r>
    </w:p>
    <w:p>
      <w:pPr>
        <w:shd w:fill="f1f5f9" w:val="clear"/>
        <w:spacing w:before="40" w:after="40"/>
        <w:ind w:left="360"/>
      </w:pPr>
      <w:r>
        <w:rPr>
          <w:rFonts w:ascii="Courier New" w:cs="Courier New" w:eastAsia="Courier New" w:hAnsi="Courier New"/>
          <w:color w:val="0f172a"/>
          <w:sz w:val="18"/>
          <w:szCs w:val="18"/>
        </w:rPr>
        <w:t xml:space="preserve">          grad_input  via col2im(w_col^T @ grad_2d)</w:t>
      </w:r>
    </w:p>
    <w:p>
      <w:pPr>
        <w:spacing w:before="40" w:after="0"/>
      </w:pPr>
      <w:r>
        <w:t xml:space="preserve"/>
      </w:r>
    </w:p>
    <w:p>
      <w:pPr>
        <w:spacing w:before="60" w:after="60"/>
        <w:jc w:val="both"/>
      </w:pPr>
      <w:r>
        <w:rPr>
          <w:rFonts w:ascii="Arial" w:cs="Arial" w:eastAsia="Arial" w:hAnsi="Arial"/>
          <w:color w:val="374151"/>
          <w:sz w:val="22"/>
          <w:szCs w:val="22"/>
        </w:rPr>
        <w:t xml:space="preserve">ConvTranspose2d (deconvolution) uses a direct scatter-based implementation: for each input position (ih,iw) and kernel position (ki,kj), it accumulates contributions to the appropriate output position. This produces exact output shapes matching PyTorch's ConvTranspose2d for all stride/padding combinations.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4.3 Normalization</w:t>
      </w:r>
    </w:p>
    <w:p>
      <w:pPr>
        <w:spacing w:before="60" w:after="60"/>
        <w:jc w:val="both"/>
      </w:pPr>
      <w:r>
        <w:rPr>
          <w:rFonts w:ascii="Arial" w:cs="Arial" w:eastAsia="Arial" w:hAnsi="Arial"/>
          <w:color w:val="374151"/>
          <w:sz w:val="22"/>
          <w:szCs w:val="22"/>
        </w:rPr>
        <w:t xml:space="preserve">BatchNorm2d implements the 4-step gradient formula with running mean/variance update in training mode and freeze in eval mode. LayerNorm normalizes over the last N dimensions. Both pass full backward correctness tests.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4.4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Activation</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Forward</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Backward</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ReLU</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max(0, 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 * (x &gt; 0)</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Sigmoid</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1/(1+e^-x)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 * σ(1-σ)</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Tanh</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(e^x-e^-x)/(e^x+e^-x)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 * (1-tanh²)</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GELU</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0.5x(1+tanh(√(2/π)(x+0.044715x³)))</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Derived analytically</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Softmax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exp(x)/sum(exp(x))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Jacobian-vector product</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LogSoftmax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x - log(sum(exp(x)))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 - softmax*sum(grad)</w:t>
            </w:r>
          </w:p>
        </w:tc>
      </w:tr>
    </w:tbl>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5. Modules 3 &amp; 4 — nn.Module System &amp; Training Infrastructure</w:t>
      </w:r>
    </w:p>
    <w:p>
      <w:pPr>
        <w:spacing w:before="60" w:after="0"/>
      </w:pPr>
      <w:r>
        <w:t xml:space="preserve"/>
      </w:r>
    </w:p>
    <w:p>
      <w:pPr>
        <w:pStyle w:val="Heading2"/>
        <w:spacing w:before="280" w:after="80"/>
      </w:pPr>
      <w:r>
        <w:rPr>
          <w:rFonts w:ascii="Arial" w:cs="Arial" w:eastAsia="Arial" w:hAnsi="Arial"/>
          <w:b/>
          <w:bCs/>
          <w:color w:val="374151"/>
          <w:sz w:val="28"/>
          <w:szCs w:val="28"/>
        </w:rPr>
        <w:t xml:space="preserve">5.1 Module System</w:t>
      </w:r>
    </w:p>
    <w:p>
      <w:pPr>
        <w:spacing w:before="60" w:after="60"/>
        <w:jc w:val="both"/>
      </w:pPr>
      <w:r>
        <w:rPr>
          <w:rFonts w:ascii="Arial" w:cs="Arial" w:eastAsia="Arial" w:hAnsi="Arial"/>
          <w:color w:val="374151"/>
          <w:sz w:val="22"/>
          <w:szCs w:val="22"/>
        </w:rPr>
        <w:t xml:space="preserve">The Module base class mirrors PyTorch's nn.Module with full parameter auto-registration, state_dict/load_state_dict, train/eval mode toggling, and recursive parameter/child iteration. Parameters are registered automatically when assigned as Module attributes via __setattr__ inspection.</w:t>
      </w:r>
    </w:p>
    <w:p>
      <w:pPr>
        <w:spacing w:before="80" w:after="0"/>
      </w:pPr>
      <w:r>
        <w:t xml:space="preserve"/>
      </w:r>
    </w:p>
    <w:p>
      <w:pPr>
        <w:pStyle w:val="Heading2"/>
        <w:spacing w:before="280" w:after="80"/>
      </w:pPr>
      <w:r>
        <w:rPr>
          <w:rFonts w:ascii="Arial" w:cs="Arial" w:eastAsia="Arial" w:hAnsi="Arial"/>
          <w:b/>
          <w:bCs/>
          <w:color w:val="374151"/>
          <w:sz w:val="28"/>
          <w:szCs w:val="28"/>
        </w:rPr>
        <w:t xml:space="preserve">5.2 Built-in Layers</w:t>
      </w:r>
    </w:p>
    <w:p>
      <w:pPr>
        <w:spacing w:before="60" w:after="60"/>
        <w:jc w:val="both"/>
      </w:pPr>
      <w:r>
        <w:rPr>
          <w:rFonts w:ascii="Arial" w:cs="Arial" w:eastAsia="Arial" w:hAnsi="Arial"/>
          <w:color w:val="374151"/>
          <w:sz w:val="22"/>
          <w:szCs w:val="22"/>
        </w:rPr>
        <w:t xml:space="preserve">All standard layers are implemented: Linear, Conv2d, ConvTranspose2d, BatchNorm2d, BatchNorm1d, LayerNorm, ReLU, LeakyReLU, Sigmoid, Tanh, GELU, MaxPool2d, AvgPool2d, AdaptiveAvgPool2d, Dropout (inverted), Embedding, Sequential, ModuleList, Flatten.</w:t>
      </w:r>
    </w:p>
    <w:p>
      <w:pPr>
        <w:spacing w:before="80" w:after="0"/>
      </w:pPr>
      <w:r>
        <w:t xml:space="preserve"/>
      </w:r>
    </w:p>
    <w:p>
      <w:pPr>
        <w:pStyle w:val="Heading2"/>
        <w:spacing w:before="280" w:after="80"/>
      </w:pPr>
      <w:r>
        <w:rPr>
          <w:rFonts w:ascii="Arial" w:cs="Arial" w:eastAsia="Arial" w:hAnsi="Arial"/>
          <w:b/>
          <w:bCs/>
          <w:color w:val="374151"/>
          <w:sz w:val="28"/>
          <w:szCs w:val="28"/>
        </w:rPr>
        <w:t xml:space="preserve">5.3 Loss Functions</w:t>
      </w:r>
    </w:p>
    <w:p>
      <w:pPr>
        <w:spacing w:before="60" w:after="60"/>
        <w:jc w:val="both"/>
      </w:pPr>
      <w:r>
        <w:rPr>
          <w:rFonts w:ascii="Arial" w:cs="Arial" w:eastAsia="Arial" w:hAnsi="Arial"/>
          <w:color w:val="374151"/>
          <w:sz w:val="22"/>
          <w:szCs w:val="22"/>
        </w:rPr>
        <w:t xml:space="preserve">CrossEntropyLoss fuses LogSoftmax and NLLLoss into a single Function for numerical stability — matching PyTorch's behaviour exactly. The gradient of the fused operation is (softmax - one_hot) / N, computed directly without building a graph for the intermediate softmax.</w:t>
      </w:r>
    </w:p>
    <w:p>
      <w:pPr>
        <w:spacing w:before="80" w:after="0"/>
      </w:pPr>
      <w:r>
        <w:t xml:space="preserve"/>
      </w:r>
    </w:p>
    <w:p>
      <w:pPr>
        <w:pStyle w:val="Heading2"/>
        <w:spacing w:before="280" w:after="80"/>
      </w:pPr>
      <w:r>
        <w:rPr>
          <w:rFonts w:ascii="Arial" w:cs="Arial" w:eastAsia="Arial" w:hAnsi="Arial"/>
          <w:b/>
          <w:bCs/>
          <w:color w:val="374151"/>
          <w:sz w:val="28"/>
          <w:szCs w:val="28"/>
        </w:rPr>
        <w:t xml:space="preserve">5.4 Optimizers</w:t>
      </w:r>
    </w:p>
    <w:p>
      <w:pPr>
        <w:spacing w:before="60" w:after="60"/>
        <w:jc w:val="both"/>
      </w:pPr>
      <w:r>
        <w:rPr>
          <w:rFonts w:ascii="Arial" w:cs="Arial" w:eastAsia="Arial" w:hAnsi="Arial"/>
          <w:color w:val="374151"/>
          <w:sz w:val="22"/>
          <w:szCs w:val="22"/>
        </w:rPr>
        <w:t xml:space="preserve">SGD with optional momentum, Nesterov momentum, and weight decay. Adam and AdamW (decoupled weight decay) with bias-corrected moment estimates. RMSprop with optional momentum. All match PyTorch's implementations step-for-step given identical initialization and data.</w:t>
      </w:r>
    </w:p>
    <w:p>
      <w:pPr>
        <w:spacing w:before="80" w:after="0"/>
      </w:pPr>
      <w:r>
        <w:t xml:space="preserve"/>
      </w:r>
    </w:p>
    <w:p>
      <w:pPr>
        <w:pStyle w:val="Heading2"/>
        <w:spacing w:before="280" w:after="80"/>
      </w:pPr>
      <w:r>
        <w:rPr>
          <w:rFonts w:ascii="Arial" w:cs="Arial" w:eastAsia="Arial" w:hAnsi="Arial"/>
          <w:b/>
          <w:bCs/>
          <w:color w:val="374151"/>
          <w:sz w:val="28"/>
          <w:szCs w:val="28"/>
        </w:rPr>
        <w:t xml:space="preserve">5.5 End-to-End Training Proof</w:t>
      </w:r>
    </w:p>
    <w:p>
      <w:pPr>
        <w:spacing w:before="60" w:after="60"/>
        <w:jc w:val="both"/>
      </w:pPr>
      <w:r>
        <w:rPr>
          <w:rFonts w:ascii="Arial" w:cs="Arial" w:eastAsia="Arial" w:hAnsi="Arial"/>
          <w:color w:val="374151"/>
          <w:sz w:val="22"/>
          <w:szCs w:val="22"/>
        </w:rPr>
        <w:t xml:space="preserve">A 2-layer MLP trained with Adam on the XOR dataset (4 samples, 300 steps) achieves: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0e9f6e" w:sz="4"/>
              <w:bottom w:val="single" w:color="dde1ec" w:sz="1"/>
              <w:right w:val="single" w:color="dde1ec" w:sz="1"/>
            </w:tcBorders>
            <w:shd w:fill="f0fdf4" w:val="clear"/>
            <w:tcMar>
              <w:top w:type="dxa" w:w="120"/>
              <w:left w:type="dxa" w:w="200"/>
              <w:bottom w:type="dxa" w:w="120"/>
              <w:right w:type="dxa" w:w="200"/>
            </w:tcMar>
          </w:tcPr>
          <w:p>
            <w:pPr>
              <w:spacing w:before="80" w:after="60"/>
            </w:pPr>
            <w:r>
              <w:rPr>
                <w:rFonts w:ascii="Arial" w:cs="Arial" w:eastAsia="Arial" w:hAnsi="Arial"/>
                <w:b/>
                <w:bCs/>
                <w:color w:val="1a56db"/>
                <w:sz w:val="22"/>
                <w:szCs w:val="22"/>
              </w:rPr>
              <w:t xml:space="preserve">XOR Training Result</w:t>
            </w:r>
          </w:p>
          <w:p>
            <w:pPr>
              <w:spacing w:before="30" w:after="30"/>
            </w:pPr>
            <w:r>
              <w:rPr>
                <w:rFonts w:ascii="Arial" w:cs="Arial" w:eastAsia="Arial" w:hAnsi="Arial"/>
                <w:color w:val="374151"/>
                <w:sz w:val="20"/>
                <w:szCs w:val="20"/>
              </w:rPr>
              <w:t xml:space="preserve">Initial loss: 0.6692</w:t>
            </w:r>
          </w:p>
          <w:p>
            <w:pPr>
              <w:spacing w:before="30" w:after="30"/>
            </w:pPr>
            <w:r>
              <w:rPr>
                <w:rFonts w:ascii="Arial" w:cs="Arial" w:eastAsia="Arial" w:hAnsi="Arial"/>
                <w:color w:val="374151"/>
                <w:sz w:val="20"/>
                <w:szCs w:val="20"/>
              </w:rPr>
              <w:t xml:space="preserve">Final loss:   0.0024 (99.6% reduction)</w:t>
            </w:r>
          </w:p>
          <w:p>
            <w:pPr>
              <w:spacing w:before="30" w:after="30"/>
            </w:pPr>
            <w:r>
              <w:rPr>
                <w:rFonts w:ascii="Arial" w:cs="Arial" w:eastAsia="Arial" w:hAnsi="Arial"/>
                <w:color w:val="374151"/>
                <w:sz w:val="20"/>
                <w:szCs w:val="20"/>
              </w:rPr>
              <w:t xml:space="preserve">Optimizer: Adam (lr=0.01)</w:t>
            </w:r>
          </w:p>
          <w:p>
            <w:pPr>
              <w:spacing w:before="30" w:after="30"/>
            </w:pPr>
            <w:r>
              <w:rPr>
                <w:rFonts w:ascii="Arial" w:cs="Arial" w:eastAsia="Arial" w:hAnsi="Arial"/>
                <w:color w:val="374151"/>
                <w:sz w:val="20"/>
                <w:szCs w:val="20"/>
              </w:rPr>
              <w:t xml:space="preserve">Architecture: Linear(2,16) → ReLU → Linear(16,2)</w:t>
            </w:r>
          </w:p>
        </w:tc>
      </w:tr>
    </w:tbl>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6. Module 5 — Privacy &amp; Security</w:t>
      </w:r>
    </w:p>
    <w:p>
      <w:pPr>
        <w:spacing w:before="60" w:after="60"/>
        <w:jc w:val="both"/>
      </w:pPr>
      <w:r>
        <w:rPr>
          <w:rFonts w:ascii="Arial" w:cs="Arial" w:eastAsia="Arial" w:hAnsi="Arial"/>
          <w:color w:val="374151"/>
          <w:sz w:val="22"/>
          <w:szCs w:val="22"/>
        </w:rPr>
        <w:t xml:space="preserve">Privacy is a first-class citizen in FALCON. Two complementary mechanisms protect client data: Differential Privacy (DP) prevents model inversion attacks, and Secure Aggregation prevents the server from seeing individual updates.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6.1 Differential Privacy — DPOptimizer</w:t>
      </w:r>
    </w:p>
    <w:p>
      <w:pPr>
        <w:spacing w:before="60" w:after="60"/>
        <w:jc w:val="both"/>
      </w:pPr>
      <w:r>
        <w:rPr>
          <w:rFonts w:ascii="Arial" w:cs="Arial" w:eastAsia="Arial" w:hAnsi="Arial"/>
          <w:color w:val="374151"/>
          <w:sz w:val="22"/>
          <w:szCs w:val="22"/>
        </w:rPr>
        <w:t xml:space="preserve">DPOptimizer wraps any picograd optimizer and implements the DP-SGD algorithm (Abadi et al., 2016):</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Step 1 — Per-sample gradient clipping: clip param.grad to L2 norm ≤ C</w:t>
      </w:r>
    </w:p>
    <w:p>
      <w:pPr>
        <w:pStyle w:val="ListParagraph"/>
        <w:numPr>
          <w:ilvl w:val="0"/>
          <w:numId w:val="2"/>
        </w:numPr>
        <w:spacing w:before="40" w:after="40"/>
      </w:pPr>
      <w:r>
        <w:rPr>
          <w:rFonts w:ascii="Arial" w:cs="Arial" w:eastAsia="Arial" w:hAnsi="Arial"/>
          <w:b w:val="false"/>
          <w:bCs w:val="false"/>
          <w:color w:val="374151"/>
          <w:sz w:val="22"/>
          <w:szCs w:val="22"/>
        </w:rPr>
        <w:t xml:space="preserve">Step 2 — Gaussian noise injection: add N(0, σ²·C²·I) to each clipped gradient</w:t>
      </w:r>
    </w:p>
    <w:p>
      <w:pPr>
        <w:pStyle w:val="ListParagraph"/>
        <w:numPr>
          <w:ilvl w:val="0"/>
          <w:numId w:val="2"/>
        </w:numPr>
        <w:spacing w:before="40" w:after="40"/>
      </w:pPr>
      <w:r>
        <w:rPr>
          <w:rFonts w:ascii="Arial" w:cs="Arial" w:eastAsia="Arial" w:hAnsi="Arial"/>
          <w:b w:val="false"/>
          <w:bCs w:val="false"/>
          <w:color w:val="374151"/>
          <w:sz w:val="22"/>
          <w:szCs w:val="22"/>
        </w:rPr>
        <w:t xml:space="preserve">Step 3 — Batch averaging: divide by batch size</w:t>
      </w:r>
    </w:p>
    <w:p>
      <w:pPr>
        <w:pStyle w:val="ListParagraph"/>
        <w:numPr>
          <w:ilvl w:val="0"/>
          <w:numId w:val="2"/>
        </w:numPr>
        <w:spacing w:before="40" w:after="40"/>
      </w:pPr>
      <w:r>
        <w:rPr>
          <w:rFonts w:ascii="Arial" w:cs="Arial" w:eastAsia="Arial" w:hAnsi="Arial"/>
          <w:b w:val="false"/>
          <w:bCs w:val="false"/>
          <w:color w:val="374151"/>
          <w:sz w:val="22"/>
          <w:szCs w:val="22"/>
        </w:rPr>
        <w:t xml:space="preserve">Step 4 — Delegate to wrapped optimizer (SGD / Adam)</w:t>
      </w:r>
    </w:p>
    <w:p>
      <w:pPr>
        <w:spacing w:before="40" w:after="0"/>
      </w:pPr>
      <w:r>
        <w:t xml:space="preserve"/>
      </w:r>
    </w:p>
    <w:p>
      <w:pPr>
        <w:spacing w:before="60" w:after="60"/>
        <w:jc w:val="both"/>
      </w:pPr>
      <w:r>
        <w:rPr>
          <w:rFonts w:ascii="Arial" w:cs="Arial" w:eastAsia="Arial" w:hAnsi="Arial"/>
          <w:color w:val="374151"/>
          <w:sz w:val="22"/>
          <w:szCs w:val="22"/>
        </w:rPr>
        <w:t xml:space="preserve">This is implemented from scratch (not using Opacus). The clipping and noise injection operate directly on NumPy arrays, completely outside the autograd graph.</w:t>
      </w:r>
    </w:p>
    <w:p>
      <w:pPr>
        <w:spacing w:before="80" w:after="0"/>
      </w:pPr>
      <w:r>
        <w:t xml:space="preserve"/>
      </w:r>
    </w:p>
    <w:p>
      <w:pPr>
        <w:pStyle w:val="Heading2"/>
        <w:spacing w:before="280" w:after="80"/>
      </w:pPr>
      <w:r>
        <w:rPr>
          <w:rFonts w:ascii="Arial" w:cs="Arial" w:eastAsia="Arial" w:hAnsi="Arial"/>
          <w:b/>
          <w:bCs/>
          <w:color w:val="374151"/>
          <w:sz w:val="28"/>
          <w:szCs w:val="28"/>
        </w:rPr>
        <w:t xml:space="preserve">6.2 Privacy Accounting — RDPAccountant</w:t>
      </w:r>
    </w:p>
    <w:p>
      <w:pPr>
        <w:spacing w:before="60" w:after="60"/>
        <w:jc w:val="both"/>
      </w:pPr>
      <w:r>
        <w:rPr>
          <w:rFonts w:ascii="Arial" w:cs="Arial" w:eastAsia="Arial" w:hAnsi="Arial"/>
          <w:color w:val="374151"/>
          <w:sz w:val="22"/>
          <w:szCs w:val="22"/>
        </w:rPr>
        <w:t xml:space="preserve">FALCON uses Rényi Differential Privacy (RDP) accounting (Mironov, 2017) rather than basic (ε,δ) composition. RDP gives tighter bounds: privacy grows as O(σ²·T) rather than O(σ·√T), enabling significantly more training rounds for the same privacy budget.</w:t>
      </w:r>
    </w:p>
    <w:p>
      <w:pPr>
        <w:spacing w:before="40" w:after="0"/>
      </w:pPr>
      <w:r>
        <w:t xml:space="preserve"/>
      </w:r>
    </w:p>
    <w:p>
      <w:pPr>
        <w:spacing w:before="60" w:after="60"/>
        <w:jc w:val="both"/>
      </w:pPr>
      <w:r>
        <w:rPr>
          <w:rFonts w:ascii="Arial" w:cs="Arial" w:eastAsia="Arial" w:hAnsi="Arial"/>
          <w:color w:val="374151"/>
          <w:sz w:val="22"/>
          <w:szCs w:val="22"/>
        </w:rPr>
        <w:t xml:space="preserve">The accountant implements the exact tight bound for the subsampled Gaussian mechanism (Mironov et al., 2019), tracking RDP at 66 different orders (α = 2..512). The RDP → (ε,δ) conversion follows Balle et al. (2020).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0e9f6e" w:sz="4"/>
              <w:bottom w:val="single" w:color="dde1ec" w:sz="1"/>
              <w:right w:val="single" w:color="dde1ec" w:sz="1"/>
            </w:tcBorders>
            <w:shd w:fill="f0f4ff" w:val="clear"/>
            <w:tcMar>
              <w:top w:type="dxa" w:w="120"/>
              <w:left w:type="dxa" w:w="200"/>
              <w:bottom w:type="dxa" w:w="120"/>
              <w:right w:type="dxa" w:w="200"/>
            </w:tcMar>
          </w:tcPr>
          <w:p>
            <w:pPr>
              <w:spacing w:before="80" w:after="60"/>
            </w:pPr>
            <w:r>
              <w:rPr>
                <w:rFonts w:ascii="Arial" w:cs="Arial" w:eastAsia="Arial" w:hAnsi="Arial"/>
                <w:b/>
                <w:bCs/>
                <w:color w:val="1a56db"/>
                <w:sz w:val="22"/>
                <w:szCs w:val="22"/>
              </w:rPr>
              <w:t xml:space="preserve">Privacy Budget Results</w:t>
            </w:r>
          </w:p>
          <w:p>
            <w:pPr>
              <w:spacing w:before="30" w:after="30"/>
            </w:pPr>
            <w:r>
              <w:rPr>
                <w:rFonts w:ascii="Arial" w:cs="Arial" w:eastAsia="Arial" w:hAnsi="Arial"/>
                <w:color w:val="374151"/>
                <w:sz w:val="20"/>
                <w:szCs w:val="20"/>
              </w:rPr>
              <w:t xml:space="preserve">σ=1.0, q=0.01, T=100, δ=1e-5  →  ε ≈ 1.51  (tight RDP bound)</w:t>
            </w:r>
          </w:p>
          <w:p>
            <w:pPr>
              <w:spacing w:before="30" w:after="30"/>
            </w:pPr>
            <w:r>
              <w:rPr>
                <w:rFonts w:ascii="Arial" w:cs="Arial" w:eastAsia="Arial" w:hAnsi="Arial"/>
                <w:color w:val="374151"/>
                <w:sz w:val="20"/>
                <w:szCs w:val="20"/>
              </w:rPr>
              <w:t xml:space="preserve">ε increases monotonically with rounds (verified over 50 rounds)</w:t>
            </w:r>
          </w:p>
          <w:p>
            <w:pPr>
              <w:spacing w:before="30" w:after="30"/>
            </w:pPr>
            <w:r>
              <w:rPr>
                <w:rFonts w:ascii="Arial" w:cs="Arial" w:eastAsia="Arial" w:hAnsi="Arial"/>
                <w:color w:val="374151"/>
                <w:sz w:val="20"/>
                <w:szCs w:val="20"/>
              </w:rPr>
              <w:t xml:space="preserve">reset() + replay gives identical ε (deterministic accounting)</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6.3 Secure Aggregation — MaskGenerator</w:t>
      </w:r>
    </w:p>
    <w:p>
      <w:pPr>
        <w:spacing w:before="60" w:after="60"/>
        <w:jc w:val="both"/>
      </w:pPr>
      <w:r>
        <w:rPr>
          <w:rFonts w:ascii="Arial" w:cs="Arial" w:eastAsia="Arial" w:hAnsi="Arial"/>
          <w:color w:val="374151"/>
          <w:sz w:val="22"/>
          <w:szCs w:val="22"/>
        </w:rPr>
        <w:t xml:space="preserve">Masking-based secure aggregation ensures the server never sees individual model updates. The protocol:</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Each pair of clients (i,j) shares a PRG seed: hash(min(i,j), max(i,j), round, layer)</w:t>
      </w:r>
    </w:p>
    <w:p>
      <w:pPr>
        <w:pStyle w:val="ListParagraph"/>
        <w:numPr>
          <w:ilvl w:val="0"/>
          <w:numId w:val="2"/>
        </w:numPr>
        <w:spacing w:before="40" w:after="40"/>
      </w:pPr>
      <w:r>
        <w:rPr>
          <w:rFonts w:ascii="Arial" w:cs="Arial" w:eastAsia="Arial" w:hAnsi="Arial"/>
          <w:b w:val="false"/>
          <w:bCs w:val="false"/>
          <w:color w:val="374151"/>
          <w:sz w:val="22"/>
          <w:szCs w:val="22"/>
        </w:rPr>
        <w:t xml:space="preserve">Client i adds PRG(seed_ij) for j&gt;i and subtracts PRG(seed_ij) for j&lt;i</w:t>
      </w:r>
    </w:p>
    <w:p>
      <w:pPr>
        <w:pStyle w:val="ListParagraph"/>
        <w:numPr>
          <w:ilvl w:val="0"/>
          <w:numId w:val="2"/>
        </w:numPr>
        <w:spacing w:before="40" w:after="40"/>
      </w:pPr>
      <w:r>
        <w:rPr>
          <w:rFonts w:ascii="Arial" w:cs="Arial" w:eastAsia="Arial" w:hAnsi="Arial"/>
          <w:b w:val="false"/>
          <w:bCs w:val="false"/>
          <w:color w:val="374151"/>
          <w:sz w:val="22"/>
          <w:szCs w:val="22"/>
        </w:rPr>
        <w:t xml:space="preserve">Sum of all masks = 0 (telescope cancellation — verified: ‖Σ rᵢ‖ &lt; 1e-3)</w:t>
      </w:r>
    </w:p>
    <w:p>
      <w:pPr>
        <w:pStyle w:val="ListParagraph"/>
        <w:numPr>
          <w:ilvl w:val="0"/>
          <w:numId w:val="2"/>
        </w:numPr>
        <w:spacing w:before="40" w:after="40"/>
      </w:pPr>
      <w:r>
        <w:rPr>
          <w:rFonts w:ascii="Arial" w:cs="Arial" w:eastAsia="Arial" w:hAnsi="Arial"/>
          <w:b w:val="false"/>
          <w:bCs w:val="false"/>
          <w:color w:val="374151"/>
          <w:sz w:val="22"/>
          <w:szCs w:val="22"/>
        </w:rPr>
        <w:t xml:space="preserve">Clients send weight × n_i/N + mask_i; server sums → masked terms cancel</w:t>
      </w:r>
    </w:p>
    <w:p>
      <w:pPr>
        <w:spacing w:before="40" w:after="0"/>
      </w:pPr>
      <w:r>
        <w:t xml:space="preserve"/>
      </w:r>
    </w:p>
    <w:p>
      <w:pPr>
        <w:spacing w:before="60" w:after="60"/>
        <w:jc w:val="both"/>
      </w:pPr>
      <w:r>
        <w:rPr>
          <w:rFonts w:ascii="Arial" w:cs="Arial" w:eastAsia="Arial" w:hAnsi="Arial"/>
          <w:color w:val="374151"/>
          <w:sz w:val="22"/>
          <w:szCs w:val="22"/>
        </w:rPr>
        <w:t xml:space="preserve">The server receives exactly the FedAvg-weighted average — mathematically proven and numerically verified across 3, 5, 7, and 10 client configurations.</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7. Module 6 — Anomaly Detection &amp; Explainability</w:t>
      </w:r>
    </w:p>
    <w:p>
      <w:pPr>
        <w:spacing w:before="60" w:after="0"/>
      </w:pPr>
      <w:r>
        <w:t xml:space="preserve"/>
      </w:r>
    </w:p>
    <w:p>
      <w:pPr>
        <w:pStyle w:val="Heading2"/>
        <w:spacing w:before="280" w:after="80"/>
      </w:pPr>
      <w:r>
        <w:rPr>
          <w:rFonts w:ascii="Arial" w:cs="Arial" w:eastAsia="Arial" w:hAnsi="Arial"/>
          <w:b/>
          <w:bCs/>
          <w:color w:val="374151"/>
          <w:sz w:val="28"/>
          <w:szCs w:val="28"/>
        </w:rPr>
        <w:t xml:space="preserve">7.1 CNN-Autoencoder Architecture</w:t>
      </w:r>
    </w:p>
    <w:p>
      <w:pPr>
        <w:spacing w:before="60" w:after="60"/>
        <w:jc w:val="both"/>
      </w:pPr>
      <w:r>
        <w:rPr>
          <w:rFonts w:ascii="Arial" w:cs="Arial" w:eastAsia="Arial" w:hAnsi="Arial"/>
          <w:color w:val="374151"/>
          <w:sz w:val="22"/>
          <w:szCs w:val="22"/>
        </w:rPr>
        <w:t xml:space="preserve">AnomalyAE is a symmetric CNN-Autoencoder designed for 28×28 grayscale medical images. It is trained only on "normal" samples; anomalies are detected by high reconstruction error.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Encoder</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Decoder</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Conv2d(1,32,3,stride=2,pad=1) → BN → ReLU → (32,14,14)</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FC(latent→2048) → ReLU → reshape(128,4,4)</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Conv2d(32,64,3,stride=2,pad=1) → BN → ReLU → (64,7,7)</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ConvTranspose2d(128,64,3,stride=2,pad=1) → BN → ReLU → (64,7,7)</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Conv2d(64,128,3,stride=2,pad=1) → BN → ReLU → (128,4,4)</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ConvTranspose2d(64,32,3,stride=2,pad=1) → BN → ReLU → (32,14,14)</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Flatten → FC(2048,latent_dim)</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ConvTranspose2d(32,1,3,stride=2,pad=1) → Sigmoid → (1,28,28)</w:t>
            </w:r>
          </w:p>
        </w:tc>
      </w:tr>
    </w:tbl>
    <w:p>
      <w:pPr>
        <w:spacing w:before="40" w:after="0"/>
      </w:pPr>
      <w:r>
        <w:t xml:space="preserve"/>
      </w:r>
    </w:p>
    <w:p>
      <w:pPr>
        <w:spacing w:before="60" w:after="60"/>
        <w:jc w:val="both"/>
      </w:pPr>
      <w:r>
        <w:rPr>
          <w:rFonts w:ascii="Arial" w:cs="Arial" w:eastAsia="Arial" w:hAnsi="Arial"/>
          <w:color w:val="374151"/>
          <w:sz w:val="22"/>
          <w:szCs w:val="22"/>
        </w:rPr>
        <w:t xml:space="preserve">Total parameters: 253,457 (latent_dim=64). Training uses MSELoss(reconstruction, input). Inference: anomaly_score = mean(pixel_reconstruction_error).</w:t>
      </w:r>
    </w:p>
    <w:p>
      <w:pPr>
        <w:spacing w:before="80" w:after="0"/>
      </w:pPr>
      <w:r>
        <w:t xml:space="preserve"/>
      </w:r>
    </w:p>
    <w:p>
      <w:pPr>
        <w:pStyle w:val="Heading2"/>
        <w:spacing w:before="280" w:after="80"/>
      </w:pPr>
      <w:r>
        <w:rPr>
          <w:rFonts w:ascii="Arial" w:cs="Arial" w:eastAsia="Arial" w:hAnsi="Arial"/>
          <w:b/>
          <w:bCs/>
          <w:color w:val="374151"/>
          <w:sz w:val="28"/>
          <w:szCs w:val="28"/>
        </w:rPr>
        <w:t xml:space="preserve">7.2 Grad-CAM for Autoencoders</w:t>
      </w:r>
    </w:p>
    <w:p>
      <w:pPr>
        <w:spacing w:before="60" w:after="60"/>
        <w:jc w:val="both"/>
      </w:pPr>
      <w:r>
        <w:rPr>
          <w:rFonts w:ascii="Arial" w:cs="Arial" w:eastAsia="Arial" w:hAnsi="Arial"/>
          <w:color w:val="374151"/>
          <w:sz w:val="22"/>
          <w:szCs w:val="22"/>
        </w:rPr>
        <w:t xml:space="preserve">Standard Grad-CAM computes gradients of class logits w.r.t. the last convolutional feature map. FALCON adapts this for autoencoders: gradients are taken w.r.t. the reconstruction error, highlighting regions the model fails to reconstruct — the anomalous regions.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Forward: run encoder up to conv3, capture activations A (128×4×4)</w:t>
      </w:r>
    </w:p>
    <w:p>
      <w:pPr>
        <w:pStyle w:val="ListParagraph"/>
        <w:numPr>
          <w:ilvl w:val="0"/>
          <w:numId w:val="2"/>
        </w:numPr>
        <w:spacing w:before="40" w:after="40"/>
      </w:pPr>
      <w:r>
        <w:rPr>
          <w:rFonts w:ascii="Arial" w:cs="Arial" w:eastAsia="Arial" w:hAnsi="Arial"/>
          <w:b w:val="false"/>
          <w:bCs w:val="false"/>
          <w:color w:val="374151"/>
          <w:sz w:val="22"/>
          <w:szCs w:val="22"/>
        </w:rPr>
        <w:t xml:space="preserve">Backward: compute dL/dA where L = mean((input - reconstruction)²)</w:t>
      </w:r>
    </w:p>
    <w:p>
      <w:pPr>
        <w:pStyle w:val="ListParagraph"/>
        <w:numPr>
          <w:ilvl w:val="0"/>
          <w:numId w:val="2"/>
        </w:numPr>
        <w:spacing w:before="40" w:after="40"/>
      </w:pPr>
      <w:r>
        <w:rPr>
          <w:rFonts w:ascii="Arial" w:cs="Arial" w:eastAsia="Arial" w:hAnsi="Arial"/>
          <w:b w:val="false"/>
          <w:bCs w:val="false"/>
          <w:color w:val="374151"/>
          <w:sz w:val="22"/>
          <w:szCs w:val="22"/>
        </w:rPr>
        <w:t xml:space="preserve">Weights: global average pool of gradients → α_k = mean(dL/dA_k)</w:t>
      </w:r>
    </w:p>
    <w:p>
      <w:pPr>
        <w:pStyle w:val="ListParagraph"/>
        <w:numPr>
          <w:ilvl w:val="0"/>
          <w:numId w:val="2"/>
        </w:numPr>
        <w:spacing w:before="40" w:after="40"/>
      </w:pPr>
      <w:r>
        <w:rPr>
          <w:rFonts w:ascii="Arial" w:cs="Arial" w:eastAsia="Arial" w:hAnsi="Arial"/>
          <w:b w:val="false"/>
          <w:bCs w:val="false"/>
          <w:color w:val="374151"/>
          <w:sz w:val="22"/>
          <w:szCs w:val="22"/>
        </w:rPr>
        <w:t xml:space="preserve">CAM: ReLU(Σ α_k · A_k) — 4×4 feature space</w:t>
      </w:r>
    </w:p>
    <w:p>
      <w:pPr>
        <w:pStyle w:val="ListParagraph"/>
        <w:numPr>
          <w:ilvl w:val="0"/>
          <w:numId w:val="2"/>
        </w:numPr>
        <w:spacing w:before="40" w:after="40"/>
      </w:pPr>
      <w:r>
        <w:rPr>
          <w:rFonts w:ascii="Arial" w:cs="Arial" w:eastAsia="Arial" w:hAnsi="Arial"/>
          <w:b w:val="false"/>
          <w:bCs w:val="false"/>
          <w:color w:val="374151"/>
          <w:sz w:val="22"/>
          <w:szCs w:val="22"/>
        </w:rPr>
        <w:t xml:space="preserve">Upsample: bilinear interpolation to 28×28 input resolution</w:t>
      </w:r>
    </w:p>
    <w:p>
      <w:pPr>
        <w:pStyle w:val="ListParagraph"/>
        <w:numPr>
          <w:ilvl w:val="0"/>
          <w:numId w:val="2"/>
        </w:numPr>
        <w:spacing w:before="40" w:after="40"/>
      </w:pPr>
      <w:r>
        <w:rPr>
          <w:rFonts w:ascii="Arial" w:cs="Arial" w:eastAsia="Arial" w:hAnsi="Arial"/>
          <w:b w:val="false"/>
          <w:bCs w:val="false"/>
          <w:color w:val="374151"/>
          <w:sz w:val="22"/>
          <w:szCs w:val="22"/>
        </w:rPr>
        <w:t xml:space="preserve">Normalize: [0,1] range; encode as PNG base64 for dashboard</w:t>
      </w:r>
    </w:p>
    <w:p>
      <w:pPr>
        <w:spacing w:before="40" w:after="0"/>
      </w:pPr>
      <w:r>
        <w:t xml:space="preserve"/>
      </w:r>
    </w:p>
    <w:p>
      <w:pPr>
        <w:spacing w:before="60" w:after="60"/>
        <w:jc w:val="both"/>
      </w:pPr>
      <w:r>
        <w:rPr>
          <w:rFonts w:ascii="Arial" w:cs="Arial" w:eastAsia="Arial" w:hAnsi="Arial"/>
          <w:color w:val="374151"/>
          <w:sz w:val="22"/>
          <w:szCs w:val="22"/>
        </w:rPr>
        <w:t xml:space="preserve">Result: a spatial heatmap directly usable by radiologists, highlighting which image regions are driving the anomaly detection decision.</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8. Module 7 — Federated Learning Pipeline</w:t>
      </w:r>
    </w:p>
    <w:p>
      <w:pPr>
        <w:spacing w:before="60" w:after="0"/>
      </w:pPr>
      <w:r>
        <w:t xml:space="preserve"/>
      </w:r>
    </w:p>
    <w:p>
      <w:pPr>
        <w:pStyle w:val="Heading2"/>
        <w:spacing w:before="280" w:after="80"/>
      </w:pPr>
      <w:r>
        <w:rPr>
          <w:rFonts w:ascii="Arial" w:cs="Arial" w:eastAsia="Arial" w:hAnsi="Arial"/>
          <w:b/>
          <w:bCs/>
          <w:color w:val="374151"/>
          <w:sz w:val="28"/>
          <w:szCs w:val="28"/>
        </w:rPr>
        <w:t xml:space="preserve">8.1 Federated Averaging (FedAvg)</w:t>
      </w:r>
    </w:p>
    <w:p>
      <w:pPr>
        <w:spacing w:before="60" w:after="60"/>
        <w:jc w:val="both"/>
      </w:pPr>
      <w:r>
        <w:rPr>
          <w:rFonts w:ascii="Arial" w:cs="Arial" w:eastAsia="Arial" w:hAnsi="Arial"/>
          <w:color w:val="374151"/>
          <w:sz w:val="22"/>
          <w:szCs w:val="22"/>
        </w:rPr>
        <w:t xml:space="preserve">fedavg() implements McMahan et al. (2017) weighted aggregation using only NumPy — no torch dependency. Weights are proportional to client sample counts, ensuring larger datasets contribute more to the global model.</w:t>
      </w:r>
    </w:p>
    <w:p>
      <w:pPr>
        <w:spacing w:before="40" w:after="0"/>
      </w:pPr>
      <w:r>
        <w:t xml:space="preserve"/>
      </w:r>
    </w:p>
    <w:p>
      <w:pPr>
        <w:shd w:fill="f1f5f9" w:val="clear"/>
        <w:spacing w:before="40" w:after="40"/>
        <w:ind w:left="360"/>
      </w:pPr>
      <w:r>
        <w:rPr>
          <w:rFonts w:ascii="Courier New" w:cs="Courier New" w:eastAsia="Courier New" w:hAnsi="Courier New"/>
          <w:color w:val="0f172a"/>
          <w:sz w:val="18"/>
          <w:szCs w:val="18"/>
        </w:rPr>
        <w:t xml:space="preserve">new_global[k] = Σᵢ (nᵢ/N) * clientᵢ[k]   for each parameter k</w:t>
      </w:r>
    </w:p>
    <w:p>
      <w:pPr>
        <w:spacing w:before="80" w:after="0"/>
      </w:pPr>
      <w:r>
        <w:t xml:space="preserve"/>
      </w:r>
    </w:p>
    <w:p>
      <w:pPr>
        <w:pStyle w:val="Heading2"/>
        <w:spacing w:before="280" w:after="80"/>
      </w:pPr>
      <w:r>
        <w:rPr>
          <w:rFonts w:ascii="Arial" w:cs="Arial" w:eastAsia="Arial" w:hAnsi="Arial"/>
          <w:b/>
          <w:bCs/>
          <w:color w:val="374151"/>
          <w:sz w:val="28"/>
          <w:szCs w:val="28"/>
        </w:rPr>
        <w:t xml:space="preserve">8.2 Aggregation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Strategy</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Key Idea</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When to Use</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FedAvg</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Weighted average of all parameters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Standard non-IID baseline</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FedProx</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Adds proximal term (μ/2)‖w-w_global‖² to client loss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Severe non-IID, client drift</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FedBN</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Aggregate all params except BatchNorm stats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Cross-modality (different scanners)</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8.3 Non-IID Data Partitioning</w:t>
      </w:r>
    </w:p>
    <w:p>
      <w:pPr>
        <w:spacing w:before="60" w:after="60"/>
        <w:jc w:val="both"/>
      </w:pPr>
      <w:r>
        <w:rPr>
          <w:rFonts w:ascii="Arial" w:cs="Arial" w:eastAsia="Arial" w:hAnsi="Arial"/>
          <w:color w:val="374151"/>
          <w:sz w:val="22"/>
          <w:szCs w:val="22"/>
        </w:rPr>
        <w:t xml:space="preserve">FALCON simulates realistic hospital data heterogeneity using Dirichlet distribution partitioning. The concentration parameter α controls how non-IID the distribution is: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374151"/>
          <w:sz w:val="22"/>
          <w:szCs w:val="22"/>
        </w:rPr>
        <w:t xml:space="preserve">α → ∞: IID (all clients have identical label distributions)</w:t>
      </w:r>
    </w:p>
    <w:p>
      <w:pPr>
        <w:pStyle w:val="ListParagraph"/>
        <w:numPr>
          <w:ilvl w:val="0"/>
          <w:numId w:val="2"/>
        </w:numPr>
        <w:spacing w:before="40" w:after="40"/>
      </w:pPr>
      <w:r>
        <w:rPr>
          <w:rFonts w:ascii="Arial" w:cs="Arial" w:eastAsia="Arial" w:hAnsi="Arial"/>
          <w:b w:val="false"/>
          <w:bCs w:val="false"/>
          <w:color w:val="374151"/>
          <w:sz w:val="22"/>
          <w:szCs w:val="22"/>
        </w:rPr>
        <w:t xml:space="preserve">α = 0.5: Moderate non-IID (typical federated scenario)</w:t>
      </w:r>
    </w:p>
    <w:p>
      <w:pPr>
        <w:pStyle w:val="ListParagraph"/>
        <w:numPr>
          <w:ilvl w:val="0"/>
          <w:numId w:val="2"/>
        </w:numPr>
        <w:spacing w:before="40" w:after="40"/>
      </w:pPr>
      <w:r>
        <w:rPr>
          <w:rFonts w:ascii="Arial" w:cs="Arial" w:eastAsia="Arial" w:hAnsi="Arial"/>
          <w:b w:val="false"/>
          <w:bCs w:val="false"/>
          <w:color w:val="374151"/>
          <w:sz w:val="22"/>
          <w:szCs w:val="22"/>
        </w:rPr>
        <w:t xml:space="preserve">α = 0.1: Severe non-IID (some clients see only 1-2 classes)</w:t>
      </w:r>
    </w:p>
    <w:p>
      <w:pPr>
        <w:spacing w:before="40" w:after="0"/>
      </w:pPr>
      <w:r>
        <w:t xml:space="preserve"/>
      </w:r>
    </w:p>
    <w:p>
      <w:pPr>
        <w:spacing w:before="60" w:after="60"/>
        <w:jc w:val="both"/>
      </w:pPr>
      <w:r>
        <w:rPr>
          <w:rFonts w:ascii="Arial" w:cs="Arial" w:eastAsia="Arial" w:hAnsi="Arial"/>
          <w:color w:val="374151"/>
          <w:sz w:val="22"/>
          <w:szCs w:val="22"/>
        </w:rPr>
        <w:t xml:space="preserve">Additional strategies include pathological partitioning (each client gets exactly K classes) and quantity imbalance (different dataset sizes, simulating small vs large hospitals).</w:t>
      </w:r>
    </w:p>
    <w:p>
      <w:pPr>
        <w:spacing w:before="80" w:after="0"/>
      </w:pPr>
      <w:r>
        <w:t xml:space="preserve"/>
      </w:r>
    </w:p>
    <w:p>
      <w:pPr>
        <w:pStyle w:val="Heading2"/>
        <w:spacing w:before="280" w:after="80"/>
      </w:pPr>
      <w:r>
        <w:rPr>
          <w:rFonts w:ascii="Arial" w:cs="Arial" w:eastAsia="Arial" w:hAnsi="Arial"/>
          <w:b/>
          <w:bCs/>
          <w:color w:val="374151"/>
          <w:sz w:val="28"/>
          <w:szCs w:val="28"/>
        </w:rPr>
        <w:t xml:space="preserve">8.4 SiteClient</w:t>
      </w:r>
    </w:p>
    <w:p>
      <w:pPr>
        <w:spacing w:before="60" w:after="60"/>
        <w:jc w:val="both"/>
      </w:pPr>
      <w:r>
        <w:rPr>
          <w:rFonts w:ascii="Arial" w:cs="Arial" w:eastAsia="Arial" w:hAnsi="Arial"/>
          <w:color w:val="374151"/>
          <w:sz w:val="22"/>
          <w:szCs w:val="22"/>
        </w:rPr>
        <w:t xml:space="preserve">SiteClient encapsulates the full client-side FL lifecycle: receiving global weights, local training (with optional DPOptimizer and FedProx), submitting updates, and computing anomaly thresholds. Heartbeat metrics are streamed to the server during training.</w:t>
      </w:r>
    </w:p>
    <w:p>
      <w:pPr>
        <w:spacing w:before="80" w:after="0"/>
      </w:pPr>
      <w:r>
        <w:t xml:space="preserve"/>
      </w:r>
    </w:p>
    <w:p>
      <w:pPr>
        <w:pStyle w:val="Heading2"/>
        <w:spacing w:before="280" w:after="80"/>
      </w:pPr>
      <w:r>
        <w:rPr>
          <w:rFonts w:ascii="Arial" w:cs="Arial" w:eastAsia="Arial" w:hAnsi="Arial"/>
          <w:b/>
          <w:bCs/>
          <w:color w:val="374151"/>
          <w:sz w:val="28"/>
          <w:szCs w:val="28"/>
        </w:rPr>
        <w:t xml:space="preserve">8.5 InProcessFLServer</w:t>
      </w:r>
    </w:p>
    <w:p>
      <w:pPr>
        <w:spacing w:before="60" w:after="60"/>
        <w:jc w:val="both"/>
      </w:pPr>
      <w:r>
        <w:rPr>
          <w:rFonts w:ascii="Arial" w:cs="Arial" w:eastAsia="Arial" w:hAnsi="Arial"/>
          <w:color w:val="374151"/>
          <w:sz w:val="22"/>
          <w:szCs w:val="22"/>
        </w:rPr>
        <w:t xml:space="preserve">InProcessFLServer manages the server-side FL lifecycle without gRPC overhead (used for single-machine simulation and testing). It handles client registration, update collection, automatic aggregation when min_clients is reached, and dashboard metric broadcasting. For true distributed deployment, the same logic is wrapped by the gRPC server defined in proto/fl.proto.</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9. Modules 8 &amp; 9 — Dashboard Backend &amp; Frontend</w:t>
      </w:r>
    </w:p>
    <w:p>
      <w:pPr>
        <w:spacing w:before="60" w:after="0"/>
      </w:pPr>
      <w:r>
        <w:t xml:space="preserve"/>
      </w:r>
    </w:p>
    <w:p>
      <w:pPr>
        <w:pStyle w:val="Heading2"/>
        <w:spacing w:before="280" w:after="80"/>
      </w:pPr>
      <w:r>
        <w:rPr>
          <w:rFonts w:ascii="Arial" w:cs="Arial" w:eastAsia="Arial" w:hAnsi="Arial"/>
          <w:b/>
          <w:bCs/>
          <w:color w:val="374151"/>
          <w:sz w:val="28"/>
          <w:szCs w:val="28"/>
        </w:rPr>
        <w:t xml:space="preserve">9.1 MetricsStore</w:t>
      </w:r>
    </w:p>
    <w:p>
      <w:pPr>
        <w:spacing w:before="60" w:after="60"/>
        <w:jc w:val="both"/>
      </w:pPr>
      <w:r>
        <w:rPr>
          <w:rFonts w:ascii="Arial" w:cs="Arial" w:eastAsia="Arial" w:hAnsi="Arial"/>
          <w:color w:val="374151"/>
          <w:sz w:val="22"/>
          <w:szCs w:val="22"/>
        </w:rPr>
        <w:t xml:space="preserve">MetricsStore is a thread-safe in-memory state store (using RLock) that serves as the single source of truth for all dashboard data. It stores server status, client registry (with 30s online timeout), per-round training metrics, weight delta heatmap data, Grad-CAM base64 images, privacy timeline, Docker container states, and a 200-entry event log.</w:t>
      </w:r>
    </w:p>
    <w:p>
      <w:pPr>
        <w:spacing w:before="80" w:after="0"/>
      </w:pPr>
      <w:r>
        <w:t xml:space="preserve"/>
      </w:r>
    </w:p>
    <w:p>
      <w:pPr>
        <w:pStyle w:val="Heading2"/>
        <w:spacing w:before="280" w:after="80"/>
      </w:pPr>
      <w:r>
        <w:rPr>
          <w:rFonts w:ascii="Arial" w:cs="Arial" w:eastAsia="Arial" w:hAnsi="Arial"/>
          <w:b/>
          <w:bCs/>
          <w:color w:val="374151"/>
          <w:sz w:val="28"/>
          <w:szCs w:val="28"/>
        </w:rPr>
        <w:t xml:space="preserve">9.2 FLDashboardBridge</w:t>
      </w:r>
    </w:p>
    <w:p>
      <w:pPr>
        <w:spacing w:before="60" w:after="60"/>
        <w:jc w:val="both"/>
      </w:pPr>
      <w:r>
        <w:rPr>
          <w:rFonts w:ascii="Arial" w:cs="Arial" w:eastAsia="Arial" w:hAnsi="Arial"/>
          <w:color w:val="374151"/>
          <w:sz w:val="22"/>
          <w:szCs w:val="22"/>
        </w:rPr>
        <w:t xml:space="preserve">FLDashboardBridge provides a clean event-driven API that the FL training loop calls to push updates to the dashboard. It decouples the training logic from the dashboard infrastructure entirely. Key events: on_training_start, on_round_complete, on_client_update, on_privacy_update, on_gradcam, on_training_done.</w:t>
      </w:r>
    </w:p>
    <w:p>
      <w:pPr>
        <w:spacing w:before="40" w:after="0"/>
      </w:pPr>
      <w:r>
        <w:t xml:space="preserve"/>
      </w:r>
    </w:p>
    <w:p>
      <w:pPr>
        <w:spacing w:before="60" w:after="60"/>
        <w:jc w:val="both"/>
      </w:pPr>
      <w:r>
        <w:rPr>
          <w:rFonts w:ascii="Arial" w:cs="Arial" w:eastAsia="Arial" w:hAnsi="Arial"/>
          <w:color w:val="374151"/>
          <w:sz w:val="22"/>
          <w:szCs w:val="22"/>
        </w:rPr>
        <w:t xml:space="preserve">The bridge computes per-layer weight deltas between rounds (mean absolute change per parameter) and encodes Grad-CAM heatmaps as PNG base64 strings for transmission to the frontend.</w:t>
      </w:r>
    </w:p>
    <w:p>
      <w:pPr>
        <w:spacing w:before="80" w:after="0"/>
      </w:pPr>
      <w:r>
        <w:t xml:space="preserve"/>
      </w:r>
    </w:p>
    <w:p>
      <w:pPr>
        <w:pStyle w:val="Heading2"/>
        <w:spacing w:before="280" w:after="80"/>
      </w:pPr>
      <w:r>
        <w:rPr>
          <w:rFonts w:ascii="Arial" w:cs="Arial" w:eastAsia="Arial" w:hAnsi="Arial"/>
          <w:b/>
          <w:bCs/>
          <w:color w:val="374151"/>
          <w:sz w:val="28"/>
          <w:szCs w:val="28"/>
        </w:rPr>
        <w:t xml:space="preserve">9.3 Flask REST API</w:t>
      </w:r>
    </w:p>
    <w:p>
      <w:pPr>
        <w:spacing w:before="60" w:after="60"/>
        <w:jc w:val="both"/>
      </w:pPr>
      <w:r>
        <w:rPr>
          <w:rFonts w:ascii="Arial" w:cs="Arial" w:eastAsia="Arial" w:hAnsi="Arial"/>
          <w:color w:val="374151"/>
          <w:sz w:val="22"/>
          <w:szCs w:val="22"/>
        </w:rPr>
        <w:t xml:space="preserve">The Flask backend exposes 14 REST endpoints covering all dashboard data, plus WebSocket events via Flask-SocketIO for real-time updates: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Endpoint</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Method</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/api/status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Server status, round, client count</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/api/snapshot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Full initial state for page load</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/api/clients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Connected client list with online status</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/api/rounds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Training metrics history (?n=N)</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/api/weights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Per-layer weight delta heatmap data</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/api/privacy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Epsilon timeline and current budget</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/api/gradcam/:id</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Grad-CAM PNG base64 for client</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/api/docker/launch</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POST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Launch a new client container</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/api/config</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GET/POST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Read/update FL configuration</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9.4 React Frontend</w:t>
      </w:r>
    </w:p>
    <w:p>
      <w:pPr>
        <w:spacing w:before="60" w:after="60"/>
        <w:jc w:val="both"/>
      </w:pPr>
      <w:r>
        <w:rPr>
          <w:rFonts w:ascii="Arial" w:cs="Arial" w:eastAsia="Arial" w:hAnsi="Arial"/>
          <w:color w:val="374151"/>
          <w:sz w:val="22"/>
          <w:szCs w:val="22"/>
        </w:rPr>
        <w:t xml:space="preserve">The React SPA uses a dark theme (Tailwind-compatible colors) with four main pages: Overview (live training chart, client grid, weight heatmap, event log), Privacy (RDP gauge, epsilon timeline), Explainability (Grad-CAM image viewer with anomaly score bars), and Configuration (FL strategy, DP settings, live save).</w:t>
      </w:r>
    </w:p>
    <w:p>
      <w:pPr>
        <w:spacing w:before="40" w:after="0"/>
      </w:pPr>
      <w:r>
        <w:t xml:space="preserve"/>
      </w:r>
    </w:p>
    <w:p>
      <w:pPr>
        <w:spacing w:before="60" w:after="60"/>
        <w:jc w:val="both"/>
      </w:pPr>
      <w:r>
        <w:rPr>
          <w:rFonts w:ascii="Arial" w:cs="Arial" w:eastAsia="Arial" w:hAnsi="Arial"/>
          <w:color w:val="374151"/>
          <w:sz w:val="22"/>
          <w:szCs w:val="22"/>
        </w:rPr>
        <w:t xml:space="preserve">All live data flows through WebSocket events: round_complete, client_update, weight_update, privacy_update, gradcam_update. The useRounds and useClients hooks merge WebSocket incremental updates with the initial REST snapshot for seamless real-time display.</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10. Module 10 — Containerization &amp; Deployment</w:t>
      </w:r>
    </w:p>
    <w:p>
      <w:pPr>
        <w:spacing w:before="60" w:after="0"/>
      </w:pPr>
      <w:r>
        <w:t xml:space="preserve"/>
      </w:r>
    </w:p>
    <w:p>
      <w:pPr>
        <w:pStyle w:val="Heading2"/>
        <w:spacing w:before="280" w:after="80"/>
      </w:pPr>
      <w:r>
        <w:rPr>
          <w:rFonts w:ascii="Arial" w:cs="Arial" w:eastAsia="Arial" w:hAnsi="Arial"/>
          <w:b/>
          <w:bCs/>
          <w:color w:val="374151"/>
          <w:sz w:val="28"/>
          <w:szCs w:val="28"/>
        </w:rPr>
        <w:t xml:space="preserve">10.1 Docker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2200"/>
        <w:gridCol w:w="240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Image</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Base</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Ports</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Contents</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falcon-server</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python:3.11-slim + numpy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50051, 5000</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gRPC server + Flask dashboard</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falcon-client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falcon-base + medmnist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8080</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SiteClient + local training</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falcon-dashboard</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node:20 + python:3.11</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3000</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React build + Flask backend</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10.2 Docker Compose</w:t>
      </w:r>
    </w:p>
    <w:p>
      <w:pPr>
        <w:spacing w:before="60" w:after="60"/>
        <w:jc w:val="both"/>
      </w:pPr>
      <w:r>
        <w:rPr>
          <w:rFonts w:ascii="Arial" w:cs="Arial" w:eastAsia="Arial" w:hAnsi="Arial"/>
          <w:color w:val="374151"/>
          <w:sz w:val="22"/>
          <w:szCs w:val="22"/>
        </w:rPr>
        <w:t xml:space="preserve">The docker-compose.yml defines a complete distributed system: FL server, scalable clients (--scale falcon-client=N), and dashboard. A falcon-net bridge network (172.20.0.0/16) connects all containers. Persistent volumes store models, data, and logs. Health checks ensure clients only start after the server is accepting connections.</w:t>
      </w:r>
    </w:p>
    <w:p>
      <w:pPr>
        <w:spacing w:before="40" w:after="0"/>
      </w:pPr>
      <w:r>
        <w:t xml:space="preserve"/>
      </w:r>
    </w:p>
    <w:p>
      <w:pPr>
        <w:shd w:fill="f1f5f9" w:val="clear"/>
        <w:spacing w:before="40" w:after="40"/>
        <w:ind w:left="360"/>
      </w:pPr>
      <w:r>
        <w:rPr>
          <w:rFonts w:ascii="Courier New" w:cs="Courier New" w:eastAsia="Courier New" w:hAnsi="Courier New"/>
          <w:color w:val="0f172a"/>
          <w:sz w:val="18"/>
          <w:szCs w:val="18"/>
        </w:rPr>
        <w:t xml:space="preserve">docker-compose up --build                    # start all</w:t>
      </w:r>
    </w:p>
    <w:p>
      <w:pPr>
        <w:shd w:fill="f1f5f9" w:val="clear"/>
        <w:spacing w:before="40" w:after="40"/>
        <w:ind w:left="360"/>
      </w:pPr>
      <w:r>
        <w:rPr>
          <w:rFonts w:ascii="Courier New" w:cs="Courier New" w:eastAsia="Courier New" w:hAnsi="Courier New"/>
          <w:color w:val="0f172a"/>
          <w:sz w:val="18"/>
          <w:szCs w:val="18"/>
        </w:rPr>
        <w:t xml:space="preserve">docker-compose up --scale falcon-client=5   # 5 parallel clients</w:t>
      </w:r>
    </w:p>
    <w:p>
      <w:pPr>
        <w:shd w:fill="f1f5f9" w:val="clear"/>
        <w:spacing w:before="40" w:after="40"/>
        <w:ind w:left="360"/>
      </w:pPr>
      <w:r>
        <w:rPr>
          <w:rFonts w:ascii="Courier New" w:cs="Courier New" w:eastAsia="Courier New" w:hAnsi="Courier New"/>
          <w:color w:val="0f172a"/>
          <w:sz w:val="18"/>
          <w:szCs w:val="18"/>
        </w:rPr>
        <w:t xml:space="preserve">docker-compose --profile cross-modality up  # multi-dataset demo</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10.3 gRPC Service</w:t>
      </w:r>
    </w:p>
    <w:p>
      <w:pPr>
        <w:spacing w:before="60" w:after="60"/>
        <w:jc w:val="both"/>
      </w:pPr>
      <w:r>
        <w:rPr>
          <w:rFonts w:ascii="Arial" w:cs="Arial" w:eastAsia="Arial" w:hAnsi="Arial"/>
          <w:color w:val="374151"/>
          <w:sz w:val="22"/>
          <w:szCs w:val="22"/>
        </w:rPr>
        <w:t xml:space="preserve">The FL communication protocol is defined in proto/fl.proto as a FederatedLearning gRPC service with six RPC methods: Register, PullGlobalModel (chunked streaming), PushUpdate (chunked streaming), Heartbeat (bidirectional streaming), TriggerAggregation, and GetStatus. Model transfer uses 256KB chunks with MD5 checksums for integrity verification.</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11. Testing Strategy &amp; Results</w:t>
      </w:r>
    </w:p>
    <w:p>
      <w:pPr>
        <w:spacing w:before="60" w:after="60"/>
        <w:jc w:val="both"/>
      </w:pPr>
      <w:r>
        <w:rPr>
          <w:rFonts w:ascii="Arial" w:cs="Arial" w:eastAsia="Arial" w:hAnsi="Arial"/>
          <w:color w:val="374151"/>
          <w:sz w:val="22"/>
          <w:szCs w:val="22"/>
        </w:rPr>
        <w:t xml:space="preserve">FALCON has 113 tests across 7 test suites, all passing in 35 seconds total. Every test runs against real picograd tensors with real gradient computation — no mocking of the core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96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Test Suite</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Tests</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Time</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is verified</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Module 1 — Tensor + Autograd</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17</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0.5s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Grad computation, chain rule, no_grad, serialization, gradcheck</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Module 2 — Operations Library</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22</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2.7s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All ops pass finite-difference gradcheck, conv vs scipy, pooling, BN</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Module 3+4 — nn + Training</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19</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1.0s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Layers, losses, SGD/Adam correctness, DataLoader, XOR convergence</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Module 5 — Privacy &amp; Security</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11</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2.3s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DP clipping, noise variance, RDP monotonicity, mask cancellation</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Module 6+7 — AnomalyAE + FL</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18</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2.5s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AE shapes, backward, GradCAM, FedAvg math, data partition</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Module 8 — Dashboard Backend</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17</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2.4s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MetricsStore thread safety, FLBridge lifecycle, PNG encoding</w:t>
            </w:r>
          </w:p>
        </w:tc>
      </w:tr>
      <w:tr>
        <w:tc>
          <w:tcPr>
            <w:tcBorders>
              <w:top w:val="single" w:color="dde1ec" w:sz="1"/>
              <w:left w:val="single" w:color="dde1ec" w:sz="1"/>
              <w:bottom w:val="single" w:color="dde1ec" w:sz="1"/>
              <w:right w:val="single" w:color="dde1ec" w:sz="1"/>
            </w:tcBorders>
            <w:shd w:fill="f0f4ff" w:val="clear"/>
            <w:tcMar>
              <w:top w:type="dxa" w:w="80"/>
              <w:left w:type="dxa" w:w="160"/>
              <w:bottom w:type="dxa" w:w="80"/>
              <w:right w:type="dxa" w:w="160"/>
            </w:tcMar>
          </w:tcPr>
          <w:p>
            <w:r>
              <w:rPr>
                <w:rFonts w:ascii="Arial" w:cs="Arial" w:eastAsia="Arial" w:hAnsi="Arial"/>
                <w:b/>
                <w:bCs/>
                <w:color w:val="374151"/>
                <w:sz w:val="20"/>
                <w:szCs w:val="20"/>
              </w:rPr>
              <w:t xml:space="preserve">Integration — Full Pipeline</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val="false"/>
                <w:bCs w:val="false"/>
                <w:color w:val="374151"/>
                <w:sz w:val="20"/>
                <w:szCs w:val="20"/>
              </w:rPr>
              <w:t xml:space="preserve">9</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30.0s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Complete FL simulation: data → partition → train → DP → GradCAM → dashboard</w:t>
            </w:r>
          </w:p>
        </w:tc>
      </w:tr>
      <w:tr>
        <w:tc>
          <w:tcPr>
            <w:tcBorders>
              <w:top w:val="single" w:color="dde1ec" w:sz="1"/>
              <w:left w:val="single" w:color="dde1ec" w:sz="1"/>
              <w:bottom w:val="single" w:color="dde1ec" w:sz="1"/>
              <w:right w:val="single" w:color="dde1ec" w:sz="1"/>
            </w:tcBorders>
            <w:shd w:fill="1a56db" w:val="clear"/>
            <w:tcMar>
              <w:top w:type="dxa" w:w="80"/>
              <w:left w:type="dxa" w:w="160"/>
              <w:bottom w:type="dxa" w:w="80"/>
              <w:right w:type="dxa" w:w="160"/>
            </w:tcMar>
          </w:tcPr>
          <w:p>
            <w:r>
              <w:rPr>
                <w:rFonts w:ascii="Arial" w:cs="Arial" w:eastAsia="Arial" w:hAnsi="Arial"/>
                <w:b/>
                <w:bCs/>
                <w:color w:val="374151"/>
                <w:sz w:val="20"/>
                <w:szCs w:val="20"/>
              </w:rPr>
              <w:t xml:space="preserve">TOTAL</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pPr>
              <w:jc w:val="center"/>
            </w:pPr>
            <w:r>
              <w:rPr>
                <w:rFonts w:ascii="Arial" w:cs="Arial" w:eastAsia="Arial" w:hAnsi="Arial"/>
                <w:b/>
                <w:bCs/>
                <w:color w:val="0e9f6e"/>
                <w:sz w:val="22"/>
                <w:szCs w:val="22"/>
              </w:rPr>
              <w:t xml:space="preserve">113 / 113</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35s</w:t>
            </w:r>
          </w:p>
        </w:tc>
        <w:tc>
          <w:tcPr>
            <w:tcBorders>
              <w:top w:val="single" w:color="dde1ec" w:sz="1"/>
              <w:left w:val="single" w:color="dde1ec" w:sz="1"/>
              <w:bottom w:val="single" w:color="dde1ec" w:sz="1"/>
              <w:right w:val="single" w:color="dde1ec" w:sz="1"/>
            </w:tcBorders>
            <w:shd w:fill="f0fdf4" w:val="clear"/>
            <w:tcMar>
              <w:top w:type="dxa" w:w="80"/>
              <w:left w:type="dxa" w:w="160"/>
              <w:bottom w:type="dxa" w:w="80"/>
              <w:right w:type="dxa" w:w="160"/>
            </w:tcMar>
          </w:tcPr>
          <w:p>
            <w:r>
              <w:rPr>
                <w:rFonts w:ascii="Arial" w:cs="Arial" w:eastAsia="Arial" w:hAnsi="Arial"/>
                <w:b/>
                <w:bCs/>
                <w:color w:val="374151"/>
                <w:sz w:val="20"/>
                <w:szCs w:val="20"/>
              </w:rPr>
              <w:t xml:space="preserve">ALL PASS</w:t>
            </w:r>
          </w:p>
        </w:tc>
      </w:tr>
    </w:tbl>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12. Dataset, Experiments &amp; Results</w:t>
      </w:r>
    </w:p>
    <w:p>
      <w:pPr>
        <w:spacing w:before="60" w:after="0"/>
      </w:pPr>
      <w:r>
        <w:t xml:space="preserve"/>
      </w:r>
    </w:p>
    <w:p>
      <w:pPr>
        <w:pStyle w:val="Heading2"/>
        <w:spacing w:before="280" w:after="80"/>
      </w:pPr>
      <w:r>
        <w:rPr>
          <w:rFonts w:ascii="Arial" w:cs="Arial" w:eastAsia="Arial" w:hAnsi="Arial"/>
          <w:b/>
          <w:bCs/>
          <w:color w:val="374151"/>
          <w:sz w:val="28"/>
          <w:szCs w:val="28"/>
        </w:rPr>
        <w:t xml:space="preserve">12.1 Primary Dataset — MedMNIST v2</w:t>
      </w:r>
    </w:p>
    <w:p>
      <w:pPr>
        <w:spacing w:before="60" w:after="60"/>
        <w:jc w:val="both"/>
      </w:pPr>
      <w:r>
        <w:rPr>
          <w:rFonts w:ascii="Arial" w:cs="Arial" w:eastAsia="Arial" w:hAnsi="Arial"/>
          <w:color w:val="374151"/>
          <w:sz w:val="22"/>
          <w:szCs w:val="22"/>
        </w:rPr>
        <w:t xml:space="preserve">MedMNIST v2 provides standardized 28×28 biomedical images across 10 modalities. Three sub-datasets are used for FALCON's anomaly detection experiments: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Dataset</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Modality</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Classes</w:t>
            </w:r>
          </w:p>
        </w:tc>
        <w:tc>
          <w:tcPr>
            <w:tcBorders>
              <w:top w:val="single" w:color="dde1ec" w:sz="1"/>
              <w:left w:val="single" w:color="dde1ec" w:sz="1"/>
              <w:bottom w:val="single" w:color="dde1ec" w:sz="1"/>
              <w:right w:val="single" w:color="dde1ec"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FALCON Framing</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BreastMNIST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Ultrasound</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Malignant / Benign</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Train on benign; detect malignant</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PneumoniaMNIST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Chest X-ray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Normal / Pneumonia</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Train on normal; detect pneumonia</w:t>
            </w:r>
          </w:p>
        </w:tc>
      </w:tr>
      <w:tr>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RetinaMNIST</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Fundus photography</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5 DR severity levels</w:t>
            </w:r>
          </w:p>
        </w:tc>
        <w:tc>
          <w:tcPr>
            <w:tcBorders>
              <w:top w:val="single" w:color="dde1ec" w:sz="1"/>
              <w:left w:val="single" w:color="dde1ec" w:sz="1"/>
              <w:bottom w:val="single" w:color="dde1ec" w:sz="1"/>
              <w:right w:val="single" w:color="dde1e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Train on level 0; detect DR</w:t>
            </w:r>
          </w:p>
        </w:tc>
      </w:tr>
    </w:tbl>
    <w:p>
      <w:pPr>
        <w:spacing w:before="80" w:after="0"/>
      </w:pPr>
      <w:r>
        <w:t xml:space="preserve"/>
      </w:r>
    </w:p>
    <w:p>
      <w:pPr>
        <w:pStyle w:val="Heading2"/>
        <w:spacing w:before="280" w:after="80"/>
      </w:pPr>
      <w:r>
        <w:rPr>
          <w:rFonts w:ascii="Arial" w:cs="Arial" w:eastAsia="Arial" w:hAnsi="Arial"/>
          <w:b/>
          <w:bCs/>
          <w:color w:val="374151"/>
          <w:sz w:val="28"/>
          <w:szCs w:val="28"/>
        </w:rPr>
        <w:t xml:space="preserve">12.2 Non-IID Simulation Results</w:t>
      </w:r>
    </w:p>
    <w:p>
      <w:pPr>
        <w:spacing w:before="60" w:after="60"/>
        <w:jc w:val="both"/>
      </w:pPr>
      <w:r>
        <w:rPr>
          <w:rFonts w:ascii="Arial" w:cs="Arial" w:eastAsia="Arial" w:hAnsi="Arial"/>
          <w:color w:val="374151"/>
          <w:sz w:val="22"/>
          <w:szCs w:val="22"/>
        </w:rPr>
        <w:t xml:space="preserve">With α=0.1 (severe non-IID), class distribution variance across clients is 15× higher than α=100 (IID). This is verified quantitatively in the test suite and demonstrates that FALCON's Dirichlet partitioning successfully simulates realistic hospital heterogeneity.</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12.3 Demo Results (scripts/train_falcon.py --quick)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0e9f6e" w:sz="4"/>
              <w:bottom w:val="single" w:color="dde1ec" w:sz="1"/>
              <w:right w:val="single" w:color="dde1ec" w:sz="1"/>
            </w:tcBorders>
            <w:shd w:fill="f0fdf4" w:val="clear"/>
            <w:tcMar>
              <w:top w:type="dxa" w:w="120"/>
              <w:left w:type="dxa" w:w="200"/>
              <w:bottom w:type="dxa" w:w="120"/>
              <w:right w:type="dxa" w:w="200"/>
            </w:tcMar>
          </w:tcPr>
          <w:p>
            <w:pPr>
              <w:spacing w:before="80" w:after="60"/>
            </w:pPr>
            <w:r>
              <w:rPr>
                <w:rFonts w:ascii="Arial" w:cs="Arial" w:eastAsia="Arial" w:hAnsi="Arial"/>
                <w:b/>
                <w:bCs/>
                <w:color w:val="1a56db"/>
                <w:sz w:val="22"/>
                <w:szCs w:val="22"/>
              </w:rPr>
              <w:t xml:space="preserve">3-round FL demo on synthetic data (BreastMNIST fallback)</w:t>
            </w:r>
          </w:p>
          <w:p>
            <w:pPr>
              <w:spacing w:before="30" w:after="30"/>
            </w:pPr>
            <w:r>
              <w:rPr>
                <w:rFonts w:ascii="Arial" w:cs="Arial" w:eastAsia="Arial" w:hAnsi="Arial"/>
                <w:color w:val="374151"/>
                <w:sz w:val="20"/>
                <w:szCs w:val="20"/>
              </w:rPr>
              <w:t xml:space="preserve">Round 1: loss = 0.08455, ε = 2.496</w:t>
            </w:r>
          </w:p>
          <w:p>
            <w:pPr>
              <w:spacing w:before="30" w:after="30"/>
            </w:pPr>
            <w:r>
              <w:rPr>
                <w:rFonts w:ascii="Arial" w:cs="Arial" w:eastAsia="Arial" w:hAnsi="Arial"/>
                <w:color w:val="374151"/>
                <w:sz w:val="20"/>
                <w:szCs w:val="20"/>
              </w:rPr>
              <w:t xml:space="preserve">Round 2: loss = 0.08333, ε = 2.835</w:t>
            </w:r>
          </w:p>
          <w:p>
            <w:pPr>
              <w:spacing w:before="30" w:after="30"/>
            </w:pPr>
            <w:r>
              <w:rPr>
                <w:rFonts w:ascii="Arial" w:cs="Arial" w:eastAsia="Arial" w:hAnsi="Arial"/>
                <w:color w:val="374151"/>
                <w:sz w:val="20"/>
                <w:szCs w:val="20"/>
              </w:rPr>
              <w:t xml:space="preserve">Round 3: loss = 0.08311, ε = 3.174</w:t>
            </w:r>
          </w:p>
          <w:p>
            <w:pPr>
              <w:spacing w:before="30" w:after="30"/>
            </w:pPr>
            <w:r>
              <w:rPr>
                <w:rFonts w:ascii="Arial" w:cs="Arial" w:eastAsia="Arial" w:hAnsi="Arial"/>
                <w:color w:val="374151"/>
                <w:sz w:val="20"/>
                <w:szCs w:val="20"/>
              </w:rPr>
              <w:t xml:space="preserve"/>
            </w:r>
          </w:p>
          <w:p>
            <w:pPr>
              <w:spacing w:before="30" w:after="30"/>
            </w:pPr>
            <w:r>
              <w:rPr>
                <w:rFonts w:ascii="Arial" w:cs="Arial" w:eastAsia="Arial" w:hAnsi="Arial"/>
                <w:color w:val="374151"/>
                <w:sz w:val="20"/>
                <w:szCs w:val="20"/>
              </w:rPr>
              <w:t xml:space="preserve">Anomaly threshold (95th percentile): 0.086583</w:t>
            </w:r>
          </w:p>
          <w:p>
            <w:pPr>
              <w:spacing w:before="30" w:after="30"/>
            </w:pPr>
            <w:r>
              <w:rPr>
                <w:rFonts w:ascii="Arial" w:cs="Arial" w:eastAsia="Arial" w:hAnsi="Arial"/>
                <w:color w:val="374151"/>
                <w:sz w:val="20"/>
                <w:szCs w:val="20"/>
              </w:rPr>
              <w:t xml:space="preserve">GradCAM heatmap: shape=(28,28), max=1.000</w:t>
            </w:r>
          </w:p>
          <w:p>
            <w:pPr>
              <w:spacing w:before="30" w:after="30"/>
            </w:pPr>
            <w:r>
              <w:rPr>
                <w:rFonts w:ascii="Arial" w:cs="Arial" w:eastAsia="Arial" w:hAnsi="Arial"/>
                <w:color w:val="374151"/>
                <w:sz w:val="20"/>
                <w:szCs w:val="20"/>
              </w:rPr>
              <w:t xml:space="preserve">Model parameters: 253,457</w:t>
            </w:r>
          </w:p>
          <w:p>
            <w:pPr>
              <w:spacing w:before="30" w:after="30"/>
            </w:pPr>
            <w:r>
              <w:rPr>
                <w:rFonts w:ascii="Arial" w:cs="Arial" w:eastAsia="Arial" w:hAnsi="Arial"/>
                <w:color w:val="374151"/>
                <w:sz w:val="20"/>
                <w:szCs w:val="20"/>
              </w:rPr>
              <w:t xml:space="preserve">DP: σ=1.0, C=1.0, δ=1e-5</w:t>
            </w:r>
          </w:p>
        </w:tc>
      </w:tr>
    </w:tbl>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13. Key Design Decisions &amp; Justification</w:t>
      </w:r>
    </w:p>
    <w:p>
      <w:pPr>
        <w:spacing w:before="60" w:after="0"/>
      </w:pPr>
      <w:r>
        <w:t xml:space="preserve"/>
      </w:r>
    </w:p>
    <w:p>
      <w:pPr>
        <w:pStyle w:val="Heading2"/>
        <w:spacing w:before="280" w:after="80"/>
      </w:pPr>
      <w:r>
        <w:rPr>
          <w:rFonts w:ascii="Arial" w:cs="Arial" w:eastAsia="Arial" w:hAnsi="Arial"/>
          <w:b/>
          <w:bCs/>
          <w:color w:val="374151"/>
          <w:sz w:val="28"/>
          <w:szCs w:val="28"/>
        </w:rPr>
        <w:t xml:space="preserve">13.1 picograd over PyTorch</w:t>
      </w:r>
    </w:p>
    <w:p>
      <w:pPr>
        <w:spacing w:before="60" w:after="60"/>
        <w:jc w:val="both"/>
      </w:pPr>
      <w:r>
        <w:rPr>
          <w:rFonts w:ascii="Arial" w:cs="Arial" w:eastAsia="Arial" w:hAnsi="Arial"/>
          <w:color w:val="374151"/>
          <w:sz w:val="22"/>
          <w:szCs w:val="22"/>
        </w:rPr>
        <w:t xml:space="preserve">Using a from-scratch DL framework demonstrates deeper systems understanding than using PyTorch. Every gradient computation, optimization step, and convolution is inspectable. The backend abstraction makes the framework future-compatible with GPU kernels (Triton/CUDA) without rewriting any higher-level code.</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13.2 im2col Convolution</w:t>
      </w:r>
    </w:p>
    <w:p>
      <w:pPr>
        <w:spacing w:before="60" w:after="60"/>
        <w:jc w:val="both"/>
      </w:pPr>
      <w:r>
        <w:rPr>
          <w:rFonts w:ascii="Arial" w:cs="Arial" w:eastAsia="Arial" w:hAnsi="Arial"/>
          <w:color w:val="374151"/>
          <w:sz w:val="22"/>
          <w:szCs w:val="22"/>
        </w:rPr>
        <w:t xml:space="preserve">im2col transforms convolution into a single matrix multiply, leveraging NumPy's BLAS-accelerated matmul. This is the same approach used internally by PyTorch's CUDA kernels (as cuBLAS matmuls). The pattern generalizes directly to GPU tiled matmul — a clean path to a TritonBackend.</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13.3 RDP over Basic Composition</w:t>
      </w:r>
    </w:p>
    <w:p>
      <w:pPr>
        <w:spacing w:before="60" w:after="60"/>
        <w:jc w:val="both"/>
      </w:pPr>
      <w:r>
        <w:rPr>
          <w:rFonts w:ascii="Arial" w:cs="Arial" w:eastAsia="Arial" w:hAnsi="Arial"/>
          <w:color w:val="374151"/>
          <w:sz w:val="22"/>
          <w:szCs w:val="22"/>
        </w:rPr>
        <w:t xml:space="preserve">Rényi DP accounting gives privacy bounds that grow as O(σ²·T) rather than O(σ·√T) with basic composition. For 100 FL rounds with σ=1.0 and q=0.01: basic composition gives ε≈10, while RDP gives ε≈1.5. This is a 6.7× tighter bound — enabling far more training rounds within a clinical privacy budget.</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13.4 Masking-based Secure Aggregation</w:t>
      </w:r>
    </w:p>
    <w:p>
      <w:pPr>
        <w:spacing w:before="60" w:after="60"/>
        <w:jc w:val="both"/>
      </w:pPr>
      <w:r>
        <w:rPr>
          <w:rFonts w:ascii="Arial" w:cs="Arial" w:eastAsia="Arial" w:hAnsi="Arial"/>
          <w:color w:val="374151"/>
          <w:sz w:val="22"/>
          <w:szCs w:val="22"/>
        </w:rPr>
        <w:t xml:space="preserve">The Bonawitz et al. (2017) pairwise masking protocol ensures the server sees only the aggregate update, never individual hospital contributions. The key insight: pairwise PRG seeds between clients (i,j) produce masks that telescope-cancel when summed: Σᵢ mask_i = 0. This holds regardless of client count or round number.</w:t>
      </w:r>
    </w:p>
    <w:p>
      <w:pPr>
        <w:spacing w:before="80" w:after="0"/>
      </w:pPr>
      <w:r>
        <w:t xml:space="preserve"/>
      </w:r>
    </w:p>
    <w:p>
      <w:pPr>
        <w:pStyle w:val="Heading2"/>
        <w:spacing w:before="280" w:after="80"/>
      </w:pPr>
      <w:r>
        <w:rPr>
          <w:rFonts w:ascii="Arial" w:cs="Arial" w:eastAsia="Arial" w:hAnsi="Arial"/>
          <w:b/>
          <w:bCs/>
          <w:color w:val="374151"/>
          <w:sz w:val="28"/>
          <w:szCs w:val="28"/>
        </w:rPr>
        <w:t xml:space="preserve">13.5 Reconstruction-Error Anomaly Detection</w:t>
      </w:r>
    </w:p>
    <w:p>
      <w:pPr>
        <w:spacing w:before="60" w:after="60"/>
        <w:jc w:val="both"/>
      </w:pPr>
      <w:r>
        <w:rPr>
          <w:rFonts w:ascii="Arial" w:cs="Arial" w:eastAsia="Arial" w:hAnsi="Arial"/>
          <w:color w:val="374151"/>
          <w:sz w:val="22"/>
          <w:szCs w:val="22"/>
        </w:rPr>
        <w:t xml:space="preserve">Training an autoencoder only on normal samples means anomalous inputs (tumors, disease) produce high reconstruction error because the model has never seen them. This is more clinically appropriate than classification: it does not require labeled anomalous samples (which are rare and expensive to collect), and it naturally produces a continuous anomaly score rather than a hard class label.</w:t>
      </w:r>
    </w:p>
    <w:p>
      <w:pPr>
        <w:spacing w:before="240" w:after="0"/>
      </w:pPr>
      <w:r>
        <w:t xml:space="preserve"/>
      </w:r>
    </w:p>
    <w:p>
      <w:r>
        <w:br w:type="page"/>
      </w:r>
    </w:p>
    <w:p>
      <w:pPr>
        <w:pStyle w:val="Heading1"/>
        <w:pBdr>
          <w:bottom w:val="single" w:color="1a56db" w:sz="4" w:space="4"/>
        </w:pBdr>
        <w:spacing w:before="400" w:after="120"/>
      </w:pPr>
      <w:r>
        <w:rPr>
          <w:rFonts w:ascii="Arial" w:cs="Arial" w:eastAsia="Arial" w:hAnsi="Arial"/>
          <w:b/>
          <w:bCs/>
          <w:color w:val="1a56db"/>
          <w:sz w:val="36"/>
          <w:szCs w:val="36"/>
        </w:rPr>
        <w:t xml:space="preserve">14. References</w:t>
      </w:r>
    </w:p>
    <w:p>
      <w:pPr>
        <w:spacing w:before="60" w:after="0"/>
      </w:pPr>
      <w:r>
        <w:t xml:space="preserve"/>
      </w:r>
    </w:p>
    <w:p>
      <w:pPr>
        <w:spacing w:before="60" w:after="60"/>
        <w:jc w:val="both"/>
      </w:pPr>
      <w:r>
        <w:rPr>
          <w:rFonts w:ascii="Arial" w:cs="Arial" w:eastAsia="Arial" w:hAnsi="Arial"/>
          <w:color w:val="374151"/>
          <w:sz w:val="22"/>
          <w:szCs w:val="22"/>
        </w:rPr>
        <w:t xml:space="preserve">[1] H. B. McMahan, E. Moore, D. Ramage, S. Hampson, and B. A. y Arcas, "Communication-efficient learning of deep networks from decentralized data," AISTATS, 2017.</w:t>
      </w:r>
    </w:p>
    <w:p>
      <w:pPr>
        <w:spacing w:before="40" w:after="0"/>
      </w:pPr>
      <w:r>
        <w:t xml:space="preserve"/>
      </w:r>
    </w:p>
    <w:p>
      <w:pPr>
        <w:spacing w:before="60" w:after="60"/>
        <w:jc w:val="both"/>
      </w:pPr>
      <w:r>
        <w:rPr>
          <w:rFonts w:ascii="Arial" w:cs="Arial" w:eastAsia="Arial" w:hAnsi="Arial"/>
          <w:color w:val="374151"/>
          <w:sz w:val="22"/>
          <w:szCs w:val="22"/>
        </w:rPr>
        <w:t xml:space="preserve">[2] M. Abadi et al., "Deep learning with differential privacy," CCS, 2016.</w:t>
      </w:r>
    </w:p>
    <w:p>
      <w:pPr>
        <w:spacing w:before="40" w:after="0"/>
      </w:pPr>
      <w:r>
        <w:t xml:space="preserve"/>
      </w:r>
    </w:p>
    <w:p>
      <w:pPr>
        <w:spacing w:before="60" w:after="60"/>
        <w:jc w:val="both"/>
      </w:pPr>
      <w:r>
        <w:rPr>
          <w:rFonts w:ascii="Arial" w:cs="Arial" w:eastAsia="Arial" w:hAnsi="Arial"/>
          <w:color w:val="374151"/>
          <w:sz w:val="22"/>
          <w:szCs w:val="22"/>
        </w:rPr>
        <w:t xml:space="preserve">[3] I. Mironov, "Rényi differential privacy," CSF, 2017.</w:t>
      </w:r>
    </w:p>
    <w:p>
      <w:pPr>
        <w:spacing w:before="40" w:after="0"/>
      </w:pPr>
      <w:r>
        <w:t xml:space="preserve"/>
      </w:r>
    </w:p>
    <w:p>
      <w:pPr>
        <w:spacing w:before="60" w:after="60"/>
        <w:jc w:val="both"/>
      </w:pPr>
      <w:r>
        <w:rPr>
          <w:rFonts w:ascii="Arial" w:cs="Arial" w:eastAsia="Arial" w:hAnsi="Arial"/>
          <w:color w:val="374151"/>
          <w:sz w:val="22"/>
          <w:szCs w:val="22"/>
        </w:rPr>
        <w:t xml:space="preserve">[4] I. Mironov, K. Talwar, and L. Zhang, "Rényi differential privacy of the sampled Gaussian mechanism," arXiv:1908.10530, 2019.</w:t>
      </w:r>
    </w:p>
    <w:p>
      <w:pPr>
        <w:spacing w:before="40" w:after="0"/>
      </w:pPr>
      <w:r>
        <w:t xml:space="preserve"/>
      </w:r>
    </w:p>
    <w:p>
      <w:pPr>
        <w:spacing w:before="60" w:after="60"/>
        <w:jc w:val="both"/>
      </w:pPr>
      <w:r>
        <w:rPr>
          <w:rFonts w:ascii="Arial" w:cs="Arial" w:eastAsia="Arial" w:hAnsi="Arial"/>
          <w:color w:val="374151"/>
          <w:sz w:val="22"/>
          <w:szCs w:val="22"/>
        </w:rPr>
        <w:t xml:space="preserve">[5] K. Bonawitz et al., "Practical secure aggregation for privacy-preserving machine learning," CCS, 2017.</w:t>
      </w:r>
    </w:p>
    <w:p>
      <w:pPr>
        <w:spacing w:before="40" w:after="0"/>
      </w:pPr>
      <w:r>
        <w:t xml:space="preserve"/>
      </w:r>
    </w:p>
    <w:p>
      <w:pPr>
        <w:spacing w:before="60" w:after="60"/>
        <w:jc w:val="both"/>
      </w:pPr>
      <w:r>
        <w:rPr>
          <w:rFonts w:ascii="Arial" w:cs="Arial" w:eastAsia="Arial" w:hAnsi="Arial"/>
          <w:color w:val="374151"/>
          <w:sz w:val="22"/>
          <w:szCs w:val="22"/>
        </w:rPr>
        <w:t xml:space="preserve">[6] R. R. Selvaraju et al., "Grad-CAM: Visual explanations from deep networks via gradient-based localization," ICCV, 2017.</w:t>
      </w:r>
    </w:p>
    <w:p>
      <w:pPr>
        <w:spacing w:before="40" w:after="0"/>
      </w:pPr>
      <w:r>
        <w:t xml:space="preserve"/>
      </w:r>
    </w:p>
    <w:p>
      <w:pPr>
        <w:spacing w:before="60" w:after="60"/>
        <w:jc w:val="both"/>
      </w:pPr>
      <w:r>
        <w:rPr>
          <w:rFonts w:ascii="Arial" w:cs="Arial" w:eastAsia="Arial" w:hAnsi="Arial"/>
          <w:color w:val="374151"/>
          <w:sz w:val="22"/>
          <w:szCs w:val="22"/>
        </w:rPr>
        <w:t xml:space="preserve">[7] J. Yang et al., "MedMNIST v2 — A large-scale lightweight benchmark for 2D and 3D biomedical image classification," Scientific Data, 2023.</w:t>
      </w:r>
    </w:p>
    <w:p>
      <w:pPr>
        <w:spacing w:before="40" w:after="0"/>
      </w:pPr>
      <w:r>
        <w:t xml:space="preserve"/>
      </w:r>
    </w:p>
    <w:p>
      <w:pPr>
        <w:spacing w:before="60" w:after="60"/>
        <w:jc w:val="both"/>
      </w:pPr>
      <w:r>
        <w:rPr>
          <w:rFonts w:ascii="Arial" w:cs="Arial" w:eastAsia="Arial" w:hAnsi="Arial"/>
          <w:color w:val="374151"/>
          <w:sz w:val="22"/>
          <w:szCs w:val="22"/>
        </w:rPr>
        <w:t xml:space="preserve">[8] T. Li et al., "Federated optimization in heterogeneous networks (FedProx)," MLSys, 2020.</w:t>
      </w:r>
    </w:p>
    <w:p>
      <w:pPr>
        <w:spacing w:before="40" w:after="0"/>
      </w:pPr>
      <w:r>
        <w:t xml:space="preserve"/>
      </w:r>
    </w:p>
    <w:p>
      <w:pPr>
        <w:spacing w:before="60" w:after="60"/>
        <w:jc w:val="both"/>
      </w:pPr>
      <w:r>
        <w:rPr>
          <w:rFonts w:ascii="Arial" w:cs="Arial" w:eastAsia="Arial" w:hAnsi="Arial"/>
          <w:color w:val="374151"/>
          <w:sz w:val="22"/>
          <w:szCs w:val="22"/>
        </w:rPr>
        <w:t xml:space="preserve">[9] X. Li et al., "FedBN: Federated learning on non-IID features via local batch normalization," ICLR, 2021.</w:t>
      </w:r>
    </w:p>
    <w:p>
      <w:pPr>
        <w:spacing w:before="40" w:after="0"/>
      </w:pPr>
      <w:r>
        <w:t xml:space="preserve"/>
      </w:r>
    </w:p>
    <w:p>
      <w:pPr>
        <w:spacing w:before="60" w:after="60"/>
        <w:jc w:val="both"/>
      </w:pPr>
      <w:r>
        <w:rPr>
          <w:rFonts w:ascii="Arial" w:cs="Arial" w:eastAsia="Arial" w:hAnsi="Arial"/>
          <w:color w:val="374151"/>
          <w:sz w:val="22"/>
          <w:szCs w:val="22"/>
        </w:rPr>
        <w:t xml:space="preserve">[10] B. Balle, G. Barthe, and M. Gaboardi, "Hypothesis testing interpretations and renormalization of differential privacy," NeurIPS, 2020.</w:t>
      </w:r>
    </w:p>
    <w:p>
      <w:pPr>
        <w:spacing w:before="240" w:after="0"/>
      </w:pPr>
      <w:r>
        <w:t xml:space="preserve"/>
      </w:r>
    </w:p>
    <w:p>
      <w:pPr>
        <w:spacing w:before="240"/>
        <w:jc w:val="center"/>
      </w:pPr>
      <w:r>
        <w:rPr>
          <w:rFonts w:ascii="Arial" w:cs="Arial" w:eastAsia="Arial" w:hAnsi="Arial"/>
          <w:i/>
          <w:iCs/>
          <w:color w:val="6b7280"/>
          <w:sz w:val="22"/>
          <w:szCs w:val="22"/>
        </w:rPr>
        <w:t xml:space="preserve">End of Report</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c" w:sz="2" w:space="4"/>
      </w:pBdr>
      <w:tabs>
        <w:tab w:val="right" w:pos="9360"/>
      </w:tabs>
    </w:pPr>
    <w:r>
      <w:rPr>
        <w:rFonts w:ascii="Arial" w:cs="Arial" w:eastAsia="Arial" w:hAnsi="Arial"/>
        <w:color w:val="6b7280"/>
        <w:sz w:val="18"/>
        <w:szCs w:val="18"/>
      </w:rPr>
      <w:t xml:space="preserve">FALCON — Technical Architecture Report</w:t>
    </w:r>
    <w:r>
      <w:rPr>
        <w:rFonts w:ascii="Arial" w:cs="Arial" w:eastAsia="Arial" w:hAnsi="Arial"/>
        <w:color w:val="6b7280"/>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e9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2026-03-29T17:22:56.607Z</dcterms:created>
  <dcterms:modified xsi:type="dcterms:W3CDTF">2026-03-29T17:22:56.608Z</dcterms:modified>
</cp:coreProperties>
</file>

<file path=docProps/custom.xml><?xml version="1.0" encoding="utf-8"?>
<Properties xmlns="http://schemas.openxmlformats.org/officeDocument/2006/custom-properties" xmlns:vt="http://schemas.openxmlformats.org/officeDocument/2006/docPropsVTypes"/>
</file>