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Architecture &amp; Decision Log</w:t>
      </w:r>
    </w:p>
    <w:p>
      <w:pPr>
        <w:spacing w:before="280"/>
        <w:jc w:val="center"/>
      </w:pPr>
      <w:r>
        <w:rPr>
          <w:sz w:val="26"/>
        </w:rPr>
        <w:t>Living record of modelling, data, architecture, trust and product decisions</w:t>
      </w:r>
    </w:p>
    <w:p>
      <w:pPr>
        <w:spacing w:before="3744"/>
        <w:jc w:val="center"/>
      </w:pPr>
      <w:r>
        <w:rPr>
          <w:i/>
          <w:sz w:val="20"/>
        </w:rPr>
        <w:t>Living Project Documentation</w:t>
      </w:r>
    </w:p>
    <w:p>
      <w:pPr>
        <w:spacing w:before="160"/>
        <w:jc w:val="center"/>
      </w:pPr>
      <w:r>
        <w:t>Document version: v1.1</w:t>
      </w:r>
    </w:p>
    <w:p>
      <w:pPr>
        <w:jc w:val="center"/>
      </w:pPr>
      <w:r>
        <w:t>3 October 2026, current full-history reconciliation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gridCol w:w="1440"/>
        <w:gridCol w:w="1440"/>
        <w:gridCol w:w="1440"/>
      </w:tblGrid>
      <w:tr>
        <w:tc>
          <w:tcPr>
            <w:tcW w:type="dxa" w:w="3264"/>
          </w:tcPr>
          <w:p>
            <w:r>
              <w:t>Date</w:t>
            </w:r>
          </w:p>
        </w:tc>
        <w:tc>
          <w:tcPr>
            <w:tcW w:type="dxa" w:w="3264"/>
          </w:tcPr>
          <w:p>
            <w:r>
              <w:t>Version</w:t>
            </w:r>
          </w:p>
        </w:tc>
        <w:tc>
          <w:tcPr>
            <w:tcW w:type="dxa" w:w="3264"/>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264"/>
          </w:tcPr>
          <w:p>
            <w:r>
              <w:t>Earlier work-session checkpoints; exact version mapping not independently recoverable</w:t>
            </w:r>
          </w:p>
        </w:tc>
        <w:tc>
          <w:tcPr>
            <w:tcW w:type="dxa" w:w="3264"/>
          </w:tcPr>
          <w:p>
            <w:r>
              <w:t>v0.1–v0.4</w:t>
            </w:r>
          </w:p>
        </w:tc>
        <w:tc>
          <w:tcPr>
            <w:tcW w:type="dxa" w:w="3264"/>
          </w:tcPr>
          <w:p>
            <w:r>
              <w:t>Document history</w:t>
            </w:r>
          </w:p>
        </w:tc>
        <w:tc>
          <w:tcPr>
            <w:tcW w:type="dxa" w:w="1440"/>
          </w:tcPr>
          <w:p>
            <w:r/>
          </w:p>
        </w:tc>
        <w:tc>
          <w:tcPr>
            <w:tcW w:type="dxa" w:w="1440"/>
          </w:tcPr>
          <w:p>
            <w:r>
              <w:t>Historical</w:t>
            </w:r>
          </w:p>
        </w:tc>
        <w:tc>
          <w:tcPr>
            <w:tcW w:type="dxa" w:w="1440"/>
          </w:tcPr>
          <w:p>
            <w:r>
              <w:t>Pre-v0.5 architecture/model evolution. Earlier decisions were incorporated into the synchronized Architecture &amp; Decision Log; no version-specific timestamp is invented where the work-session record does not explicitly identify the documentation version.</w:t>
            </w:r>
          </w:p>
        </w:tc>
      </w:tr>
      <w:tr>
        <w:tc>
          <w:tcPr>
            <w:tcW w:type="dxa" w:w="3264"/>
          </w:tcPr>
          <w:p>
            <w:r>
              <w:t>22 September 2026, 21:17:08 IST</w:t>
            </w:r>
          </w:p>
        </w:tc>
        <w:tc>
          <w:tcPr>
            <w:tcW w:type="dxa" w:w="3264"/>
          </w:tcPr>
          <w:p>
            <w:r>
              <w:t>Development checkpoint</w:t>
            </w:r>
          </w:p>
        </w:tc>
        <w:tc>
          <w:tcPr>
            <w:tcW w:type="dxa" w:w="3264"/>
          </w:tcPr>
          <w:p>
            <w:r>
              <w:t>Document history</w:t>
            </w:r>
          </w:p>
        </w:tc>
        <w:tc>
          <w:tcPr>
            <w:tcW w:type="dxa" w:w="1440"/>
          </w:tcPr>
          <w:p>
            <w:r/>
          </w:p>
        </w:tc>
        <w:tc>
          <w:tcPr>
            <w:tcW w:type="dxa" w:w="1440"/>
          </w:tcPr>
          <w:p>
            <w:r>
              <w:t>Historical</w:t>
            </w:r>
          </w:p>
        </w:tc>
        <w:tc>
          <w:tcPr>
            <w:tcW w:type="dxa" w:w="1440"/>
          </w:tcPr>
          <w:p>
            <w:r>
              <w:t>Commit 9dd06da — Add structured player history. Retained as an explicit pre-v0.5 architecture/data checkpoint without retroactively assigning it to a specific documentation version.</w:t>
            </w:r>
          </w:p>
        </w:tc>
      </w:tr>
      <w:tr>
        <w:tc>
          <w:tcPr>
            <w:tcW w:type="dxa" w:w="3264"/>
          </w:tcPr>
          <w:p>
            <w:r>
              <w:t>24 September 2026, 19:43:54 IST</w:t>
            </w:r>
          </w:p>
        </w:tc>
        <w:tc>
          <w:tcPr>
            <w:tcW w:type="dxa" w:w="3264"/>
          </w:tcPr>
          <w:p>
            <w:r>
              <w:t>v0.5</w:t>
            </w:r>
          </w:p>
        </w:tc>
        <w:tc>
          <w:tcPr>
            <w:tcW w:type="dxa" w:w="3264"/>
          </w:tcPr>
          <w:p>
            <w:r>
              <w:t>Document history</w:t>
            </w:r>
          </w:p>
        </w:tc>
        <w:tc>
          <w:tcPr>
            <w:tcW w:type="dxa" w:w="1440"/>
          </w:tcPr>
          <w:p>
            <w:r/>
          </w:p>
        </w:tc>
        <w:tc>
          <w:tcPr>
            <w:tcW w:type="dxa" w:w="1440"/>
          </w:tcPr>
          <w:p>
            <w:r>
              <w:t>Historical</w:t>
            </w:r>
          </w:p>
        </w:tc>
        <w:tc>
          <w:tcPr>
            <w:tcW w:type="dxa" w:w="1440"/>
          </w:tcPr>
          <w:p>
            <w:r>
              <w:t>Prior synchronized documentation checkpoint.</w:t>
            </w:r>
          </w:p>
        </w:tc>
      </w:tr>
      <w:tr>
        <w:tc>
          <w:tcPr>
            <w:tcW w:type="dxa" w:w="3264"/>
          </w:tcPr>
          <w:p>
            <w:r>
              <w:t>25 September 2026, 01:11:24 IST</w:t>
            </w:r>
          </w:p>
        </w:tc>
        <w:tc>
          <w:tcPr>
            <w:tcW w:type="dxa" w:w="3264"/>
          </w:tcPr>
          <w:p>
            <w:r>
              <w:t>v0.6 / ADL v0.1</w:t>
            </w:r>
          </w:p>
        </w:tc>
        <w:tc>
          <w:tcPr>
            <w:tcW w:type="dxa" w:w="3264"/>
          </w:tcPr>
          <w:p>
            <w:r>
              <w:t>Document history</w:t>
            </w:r>
          </w:p>
        </w:tc>
        <w:tc>
          <w:tcPr>
            <w:tcW w:type="dxa" w:w="1440"/>
          </w:tcPr>
          <w:p>
            <w:r/>
          </w:p>
        </w:tc>
        <w:tc>
          <w:tcPr>
            <w:tcW w:type="dxa" w:w="1440"/>
          </w:tcPr>
          <w:p>
            <w:r>
              <w:t>Historical</w:t>
            </w:r>
          </w:p>
        </w:tc>
        <w:tc>
          <w:tcPr>
            <w:tcW w:type="dxa" w:w="1440"/>
          </w:tcPr>
          <w:p>
            <w:r>
              <w:t>Created the Architecture &amp; Decision Log and recorded historical-data governance, statistical-first forecasting, walk-forward evaluation, project-owned retention, research-reference policy, prediction auditability and xGC validation decisions.</w:t>
            </w:r>
          </w:p>
        </w:tc>
      </w:tr>
      <w:tr>
        <w:tc>
          <w:tcPr>
            <w:tcW w:type="dxa" w:w="3264"/>
          </w:tcPr>
          <w:p>
            <w:r>
              <w:t>26 September 2026, 11:33:48 IST</w:t>
            </w:r>
          </w:p>
        </w:tc>
        <w:tc>
          <w:tcPr>
            <w:tcW w:type="dxa" w:w="3264"/>
          </w:tcPr>
          <w:p>
            <w:r>
              <w:t>v0.7 / ADL v0.2</w:t>
            </w:r>
          </w:p>
        </w:tc>
        <w:tc>
          <w:tcPr>
            <w:tcW w:type="dxa" w:w="3264"/>
          </w:tcPr>
          <w:p>
            <w:r>
              <w:t>Document history</w:t>
            </w:r>
          </w:p>
        </w:tc>
        <w:tc>
          <w:tcPr>
            <w:tcW w:type="dxa" w:w="1440"/>
          </w:tcPr>
          <w:p>
            <w:r/>
          </w:p>
        </w:tc>
        <w:tc>
          <w:tcPr>
            <w:tcW w:type="dxa" w:w="1440"/>
          </w:tcPr>
          <w:p>
            <w:r>
              <w:t>Historical</w:t>
            </w:r>
          </w:p>
        </w:tc>
        <w:tc>
          <w:tcPr>
            <w:tcW w:type="dxa" w:w="1440"/>
          </w:tcPr>
          <w:p>
            <w:r>
              <w:t>Recorded AD-013–AD-016 covering FPL-authoritative historical truth, secondary-source deferral, canonical historical player grain and the historical player ingestion checkpoint.</w:t>
            </w:r>
          </w:p>
        </w:tc>
      </w:tr>
      <w:tr>
        <w:tc>
          <w:tcPr>
            <w:tcW w:type="dxa" w:w="3264"/>
          </w:tcPr>
          <w:p>
            <w:r>
              <w:t>26 September 2026, 11:43 IST</w:t>
            </w:r>
          </w:p>
        </w:tc>
        <w:tc>
          <w:tcPr>
            <w:tcW w:type="dxa" w:w="3264"/>
          </w:tcPr>
          <w:p>
            <w:r>
              <w:t>v0.8 / ADL v0.3</w:t>
            </w:r>
          </w:p>
        </w:tc>
        <w:tc>
          <w:tcPr>
            <w:tcW w:type="dxa" w:w="3264"/>
          </w:tcPr>
          <w:p>
            <w:r>
              <w:t>Document history</w:t>
            </w:r>
          </w:p>
        </w:tc>
        <w:tc>
          <w:tcPr>
            <w:tcW w:type="dxa" w:w="1440"/>
          </w:tcPr>
          <w:p>
            <w:r/>
          </w:p>
        </w:tc>
        <w:tc>
          <w:tcPr>
            <w:tcW w:type="dxa" w:w="1440"/>
          </w:tcPr>
          <w:p>
            <w:r>
              <w:t>Historical</w:t>
            </w:r>
          </w:p>
        </w:tc>
        <w:tc>
          <w:tcPr>
            <w:tcW w:type="dxa" w:w="1440"/>
          </w:tcPr>
          <w:p>
            <w:r>
              <w:t>Recorded the full reconciliation of strategic, product, data, trust, cloud, multi-user, conversation, memory, risk/upside, chip, Dream Team, historical and modelling decisions.</w:t>
            </w:r>
          </w:p>
        </w:tc>
      </w:tr>
      <w:tr>
        <w:tc>
          <w:tcPr>
            <w:tcW w:type="dxa" w:w="3264"/>
          </w:tcPr>
          <w:p>
            <w:r>
              <w:t>26 September 2026, current checkpoint</w:t>
            </w:r>
          </w:p>
        </w:tc>
        <w:tc>
          <w:tcPr>
            <w:tcW w:type="dxa" w:w="3264"/>
          </w:tcPr>
          <w:p>
            <w:r>
              <w:t>v0.9</w:t>
            </w:r>
          </w:p>
        </w:tc>
        <w:tc>
          <w:tcPr>
            <w:tcW w:type="dxa" w:w="3264"/>
          </w:tcPr>
          <w:p>
            <w:r>
              <w:t>Document history</w:t>
            </w:r>
          </w:p>
        </w:tc>
        <w:tc>
          <w:tcPr>
            <w:tcW w:type="dxa" w:w="1440"/>
          </w:tcPr>
          <w:p>
            <w:r/>
          </w:p>
        </w:tc>
        <w:tc>
          <w:tcPr>
            <w:tcW w:type="dxa" w:w="1440"/>
          </w:tcPr>
          <w:p>
            <w:r>
              <w:t>Historical</w:t>
            </w:r>
          </w:p>
        </w:tc>
        <w:tc>
          <w:tcPr>
            <w:tcW w:type="dxa" w:w="1440"/>
          </w:tcPr>
          <w:p>
            <w:r>
              <w:t>Reformatted documentation set with standardized title, Change Log, Index and main-content page structure; corrected recovered timestamps while preserving the v0.8 decision register.</w:t>
            </w:r>
          </w:p>
        </w:tc>
      </w:tr>
      <w:tr>
        <w:tc>
          <w:tcPr>
            <w:tcW w:type="dxa" w:w="3264"/>
          </w:tcPr>
          <w:p>
            <w:r>
              <w:t>26 September 2026, 19:08:00 IST</w:t>
            </w:r>
          </w:p>
        </w:tc>
        <w:tc>
          <w:tcPr>
            <w:tcW w:type="dxa" w:w="3264"/>
          </w:tcPr>
          <w:p>
            <w:r>
              <w:t>v0.5 / ADL v0.4</w:t>
            </w:r>
          </w:p>
        </w:tc>
        <w:tc>
          <w:tcPr>
            <w:tcW w:type="dxa" w:w="3264"/>
          </w:tcPr>
          <w:p>
            <w:r>
              <w:t>Document history</w:t>
            </w:r>
          </w:p>
        </w:tc>
        <w:tc>
          <w:tcPr>
            <w:tcW w:type="dxa" w:w="1440"/>
          </w:tcPr>
          <w:p>
            <w:r/>
          </w:p>
        </w:tc>
        <w:tc>
          <w:tcPr>
            <w:tcW w:type="dxa" w:w="1440"/>
          </w:tcPr>
          <w:p>
            <w:r>
              <w:t>Historical</w:t>
            </w:r>
          </w:p>
        </w:tc>
        <w:tc>
          <w:tcPr>
            <w:tcW w:type="dxa" w:w="1440"/>
          </w:tcPr>
          <w:p>
            <w:r>
              <w:t>Recorded AD-031 for the baseline expected-goals architecture: transparent statistical baseline, sample-size shrinkage, walk-forward calibration, naive benchmark, explicit exclusions and separation of team strength, match model, player expected points and strategy layers.</w:t>
            </w:r>
          </w:p>
        </w:tc>
      </w:tr>
      <w:tr>
        <w:tc>
          <w:tcPr>
            <w:tcW w:type="dxa" w:w="3264"/>
          </w:tcPr>
          <w:p>
            <w:r>
              <w:t>27 September 2026</w:t>
            </w:r>
          </w:p>
        </w:tc>
        <w:tc>
          <w:tcPr>
            <w:tcW w:type="dxa" w:w="3264"/>
          </w:tcPr>
          <w:p>
            <w:r>
              <w:t>v0.6</w:t>
            </w:r>
          </w:p>
        </w:tc>
        <w:tc>
          <w:tcPr>
            <w:tcW w:type="dxa" w:w="3264"/>
          </w:tcPr>
          <w:p>
            <w:r>
              <w:t>Document history</w:t>
            </w:r>
          </w:p>
        </w:tc>
        <w:tc>
          <w:tcPr>
            <w:tcW w:type="dxa" w:w="1440"/>
          </w:tcPr>
          <w:p>
            <w:r/>
          </w:p>
        </w:tc>
        <w:tc>
          <w:tcPr>
            <w:tcW w:type="dxa" w:w="1440"/>
          </w:tcPr>
          <w:p>
            <w:r>
              <w:t>Historical</w:t>
            </w:r>
          </w:p>
        </w:tc>
        <w:tc>
          <w:tcPr>
            <w:tcW w:type="dxa" w:w="1440"/>
          </w:tcPr>
          <w:p>
            <w:r>
              <w:t>Recorded AD-032: separate Historical Prior Layer from Current-Season Point-in-Time State; documented recent-five boundary, promoted/relegated handling, leakage controls and staged validation before production use.</w:t>
            </w:r>
          </w:p>
        </w:tc>
      </w:tr>
      <w:tr>
        <w:tc>
          <w:tcPr>
            <w:tcW w:type="dxa" w:w="3264"/>
          </w:tcPr>
          <w:p>
            <w:r>
              <w:t>27 September 2026 14:25 IST</w:t>
            </w:r>
          </w:p>
        </w:tc>
        <w:tc>
          <w:tcPr>
            <w:tcW w:type="dxa" w:w="3264"/>
          </w:tcPr>
          <w:p>
            <w:r>
              <w:t>v0.7</w:t>
            </w:r>
          </w:p>
        </w:tc>
        <w:tc>
          <w:tcPr>
            <w:tcW w:type="dxa" w:w="3264"/>
          </w:tcPr>
          <w:p>
            <w:r>
              <w:t>Document history</w:t>
            </w:r>
          </w:p>
        </w:tc>
        <w:tc>
          <w:tcPr>
            <w:tcW w:type="dxa" w:w="1440"/>
          </w:tcPr>
          <w:p>
            <w:r/>
          </w:p>
        </w:tc>
        <w:tc>
          <w:tcPr>
            <w:tcW w:type="dxa" w:w="1440"/>
          </w:tcPr>
          <w:p>
            <w:r>
              <w:t>Historical</w:t>
            </w:r>
          </w:p>
        </w:tc>
        <w:tc>
          <w:tcPr>
            <w:tcW w:type="dxa" w:w="1440"/>
          </w:tcPr>
          <w:p>
            <w:r>
              <w:t>Recorded AD-033 and locked the Historical Prior Layer methodology and next implementation/validation sequence.</w:t>
            </w:r>
          </w:p>
        </w:tc>
      </w:tr>
      <w:tr>
        <w:tc>
          <w:tcPr>
            <w:tcW w:type="dxa" w:w="3264"/>
          </w:tcPr>
          <w:p>
            <w:r>
              <w:t>30 September 2026, 22:19:49 IST</w:t>
            </w:r>
          </w:p>
        </w:tc>
        <w:tc>
          <w:tcPr>
            <w:tcW w:type="dxa" w:w="3264"/>
          </w:tcPr>
          <w:p>
            <w:r>
              <w:t>v0.8</w:t>
            </w:r>
          </w:p>
        </w:tc>
        <w:tc>
          <w:tcPr>
            <w:tcW w:type="dxa" w:w="3264"/>
          </w:tcPr>
          <w:p>
            <w:r>
              <w:t>Document history</w:t>
            </w:r>
          </w:p>
        </w:tc>
        <w:tc>
          <w:tcPr>
            <w:tcW w:type="dxa" w:w="1440"/>
          </w:tcPr>
          <w:p>
            <w:r/>
          </w:p>
        </w:tc>
        <w:tc>
          <w:tcPr>
            <w:tcW w:type="dxa" w:w="1440"/>
          </w:tcPr>
          <w:p>
            <w:r>
              <w:t>Historical</w:t>
            </w:r>
          </w:p>
        </w:tc>
        <w:tc>
          <w:tcPr>
            <w:tcW w:type="dxa" w:w="1440"/>
          </w:tcPr>
          <w:p>
            <w:r>
              <w:t>Recorded the database architecture checkpoint and documentation governance decisions: SQLite-first persistence behind a repository abstraction, domain-based schema rather than code-file mirroring, current/historical separation, ingestion versus freshness separation, explicit lineage, canonical grains, season-finalization promotion, immutable historical truth and repository-hosted documentation as the durable design baseline.</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264"/>
          </w:tcPr>
          <w:p>
            <w:r>
              <w:t>3 October 2026</w:t>
            </w:r>
          </w:p>
        </w:tc>
        <w:tc>
          <w:tcPr>
            <w:tcW w:type="dxa" w:w="3264"/>
          </w:tcPr>
          <w:p>
            <w:r>
              <w:t>v1.0</w:t>
            </w:r>
          </w:p>
        </w:tc>
        <w:tc>
          <w:tcPr>
            <w:tcW w:type="dxa" w:w="3264"/>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264"/>
          </w:tcPr>
          <w:p>
            <w:r>
              <w:t>3 October 2026</w:t>
            </w:r>
          </w:p>
        </w:tc>
        <w:tc>
          <w:tcPr>
            <w:tcW w:type="dxa" w:w="3264"/>
          </w:tcPr>
          <w:p>
            <w:r>
              <w:t>v1.0</w:t>
            </w:r>
          </w:p>
        </w:tc>
        <w:tc>
          <w:tcPr>
            <w:tcW w:type="dxa" w:w="3264"/>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264"/>
          </w:tcPr>
          <w:p>
            <w:r>
              <w:t>3 October 2026</w:t>
            </w:r>
          </w:p>
        </w:tc>
        <w:tc>
          <w:tcPr>
            <w:tcW w:type="dxa" w:w="3264"/>
          </w:tcPr>
          <w:p>
            <w:r>
              <w:t>v1.0</w:t>
            </w:r>
          </w:p>
        </w:tc>
        <w:tc>
          <w:tcPr>
            <w:tcW w:type="dxa" w:w="3264"/>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264"/>
          </w:tcPr>
          <w:p>
            <w:r>
              <w:t>3 October 2026</w:t>
            </w:r>
          </w:p>
        </w:tc>
        <w:tc>
          <w:tcPr>
            <w:tcW w:type="dxa" w:w="3264"/>
          </w:tcPr>
          <w:p>
            <w:r>
              <w:t>v1.0</w:t>
            </w:r>
          </w:p>
        </w:tc>
        <w:tc>
          <w:tcPr>
            <w:tcW w:type="dxa" w:w="3264"/>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264"/>
          </w:tcPr>
          <w:p>
            <w:r>
              <w:t>3 October 2026</w:t>
            </w:r>
          </w:p>
        </w:tc>
        <w:tc>
          <w:tcPr>
            <w:tcW w:type="dxa" w:w="3264"/>
          </w:tcPr>
          <w:p>
            <w:r>
              <w:t>v1.0</w:t>
            </w:r>
          </w:p>
        </w:tc>
        <w:tc>
          <w:tcPr>
            <w:tcW w:type="dxa" w:w="3264"/>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264"/>
          </w:tcPr>
          <w:p>
            <w:r>
              <w:t>3 October 2026</w:t>
            </w:r>
          </w:p>
        </w:tc>
        <w:tc>
          <w:tcPr>
            <w:tcW w:type="dxa" w:w="3264"/>
          </w:tcPr>
          <w:p>
            <w:r>
              <w:t>v1.0</w:t>
            </w:r>
          </w:p>
        </w:tc>
        <w:tc>
          <w:tcPr>
            <w:tcW w:type="dxa" w:w="3264"/>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264"/>
            <w:vAlign w:val="center"/>
          </w:tcPr>
          <w:p>
            <w:r/>
            <w:r>
              <w:rPr>
                <w:b w:val="0"/>
                <w:sz w:val="16"/>
              </w:rPr>
              <w:t>3 October 2026</w:t>
            </w:r>
          </w:p>
        </w:tc>
        <w:tc>
          <w:tcPr>
            <w:tcW w:type="dxa" w:w="3264"/>
            <w:vAlign w:val="center"/>
          </w:tcPr>
          <w:p>
            <w:r>
              <w:t>v1.1</w:t>
            </w:r>
          </w:p>
        </w:tc>
        <w:tc>
          <w:tcPr>
            <w:tcW w:type="dxa" w:w="3264"/>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264"/>
            <w:vAlign w:val="center"/>
          </w:tcPr>
          <w:p>
            <w:r/>
            <w:r>
              <w:rPr>
                <w:b w:val="0"/>
                <w:sz w:val="16"/>
              </w:rPr>
              <w:t>3 October 2026</w:t>
            </w:r>
          </w:p>
        </w:tc>
        <w:tc>
          <w:tcPr>
            <w:tcW w:type="dxa" w:w="3264"/>
            <w:vAlign w:val="center"/>
          </w:tcPr>
          <w:p>
            <w:r>
              <w:t>v1.1</w:t>
            </w:r>
          </w:p>
        </w:tc>
        <w:tc>
          <w:tcPr>
            <w:tcW w:type="dxa" w:w="3264"/>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264"/>
            <w:vAlign w:val="center"/>
          </w:tcPr>
          <w:p>
            <w:r/>
            <w:r>
              <w:rPr>
                <w:b w:val="0"/>
                <w:sz w:val="16"/>
              </w:rPr>
              <w:t>3 October 2026</w:t>
            </w:r>
          </w:p>
        </w:tc>
        <w:tc>
          <w:tcPr>
            <w:tcW w:type="dxa" w:w="3264"/>
            <w:vAlign w:val="center"/>
          </w:tcPr>
          <w:p>
            <w:r>
              <w:t>v1.1</w:t>
            </w:r>
          </w:p>
        </w:tc>
        <w:tc>
          <w:tcPr>
            <w:tcW w:type="dxa" w:w="3264"/>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Decision Register</w:t>
            </w:r>
          </w:p>
        </w:tc>
        <w:tc>
          <w:tcPr>
            <w:tcW w:type="dxa" w:w="3264"/>
          </w:tcPr>
          <w:p>
            <w:r>
              <w:t>4</w:t>
            </w:r>
          </w:p>
        </w:tc>
      </w:tr>
      <w:tr>
        <w:tc>
          <w:tcPr>
            <w:tcW w:type="dxa" w:w="3264"/>
          </w:tcPr>
          <w:p>
            <w:r>
              <w:t>3</w:t>
            </w:r>
          </w:p>
        </w:tc>
        <w:tc>
          <w:tcPr>
            <w:tcW w:type="dxa" w:w="3264"/>
          </w:tcPr>
          <w:p>
            <w:r>
              <w:t>2. Key Current Decisions by Domain</w:t>
            </w:r>
          </w:p>
        </w:tc>
        <w:tc>
          <w:tcPr>
            <w:tcW w:type="dxa" w:w="3264"/>
          </w:tcPr>
          <w:p>
            <w:r>
              <w:t>9</w:t>
            </w:r>
          </w:p>
        </w:tc>
      </w:tr>
      <w:tr>
        <w:tc>
          <w:tcPr>
            <w:tcW w:type="dxa" w:w="3264"/>
          </w:tcPr>
          <w:p>
            <w:r>
              <w:t>4</w:t>
            </w:r>
          </w:p>
        </w:tc>
        <w:tc>
          <w:tcPr>
            <w:tcW w:type="dxa" w:w="3264"/>
          </w:tcPr>
          <w:p>
            <w:r>
              <w:t>3. v0.8 Thread Reconciliation Record</w:t>
            </w:r>
          </w:p>
        </w:tc>
        <w:tc>
          <w:tcPr>
            <w:tcW w:type="dxa" w:w="3264"/>
          </w:tcPr>
          <w:p>
            <w:r>
              <w:t>10</w:t>
            </w:r>
          </w:p>
        </w:tc>
      </w:tr>
      <w:tr>
        <w:tc>
          <w:tcPr>
            <w:tcW w:type="dxa" w:w="3264"/>
          </w:tcPr>
          <w:p>
            <w:r>
              <w:t>5</w:t>
            </w:r>
          </w:p>
        </w:tc>
        <w:tc>
          <w:tcPr>
            <w:tcW w:type="dxa" w:w="3264"/>
          </w:tcPr>
          <w:p>
            <w:r>
              <w:t>4. Current Implementation Checkpoint</w:t>
            </w:r>
          </w:p>
        </w:tc>
        <w:tc>
          <w:tcPr>
            <w:tcW w:type="dxa" w:w="3264"/>
          </w:tcPr>
          <w:p>
            <w:r>
              <w:t>10</w:t>
            </w:r>
          </w:p>
        </w:tc>
      </w:tr>
      <w:tr>
        <w:tc>
          <w:tcPr>
            <w:tcW w:type="dxa" w:w="3264"/>
          </w:tcPr>
          <w:p>
            <w:r>
              <w:t>6</w:t>
            </w:r>
          </w:p>
        </w:tc>
        <w:tc>
          <w:tcPr>
            <w:tcW w:type="dxa" w:w="3264"/>
          </w:tcPr>
          <w:p>
            <w:r>
              <w:t>4.1 Database Architecture Checkpoint</w:t>
            </w:r>
          </w:p>
        </w:tc>
        <w:tc>
          <w:tcPr>
            <w:tcW w:type="dxa" w:w="3264"/>
          </w:tcPr>
          <w:p>
            <w:r>
              <w:t>10</w:t>
            </w:r>
          </w:p>
        </w:tc>
      </w:tr>
      <w:tr>
        <w:tc>
          <w:tcPr>
            <w:tcW w:type="dxa" w:w="3264"/>
          </w:tcPr>
          <w:p>
            <w:r>
              <w:t>7</w:t>
            </w:r>
          </w:p>
        </w:tc>
        <w:tc>
          <w:tcPr>
            <w:tcW w:type="dxa" w:w="3264"/>
          </w:tcPr>
          <w:p>
            <w:r>
              <w:t>Documentation Governance and Change Control</w:t>
            </w:r>
          </w:p>
        </w:tc>
        <w:tc>
          <w:tcPr>
            <w:tcW w:type="dxa" w:w="3264"/>
          </w:tcPr>
          <w:p>
            <w:r>
              <w:t>11</w:t>
            </w:r>
          </w:p>
        </w:tc>
      </w:tr>
      <w:tr>
        <w:tc>
          <w:tcPr>
            <w:tcW w:type="dxa" w:w="3264"/>
          </w:tcPr>
          <w:p>
            <w:r>
              <w:t>8</w:t>
            </w:r>
          </w:p>
        </w:tc>
        <w:tc>
          <w:tcPr>
            <w:tcW w:type="dxa" w:w="3264"/>
          </w:tcPr>
          <w:p>
            <w:r>
              <w:t>5. Next Decisions to Record</w:t>
            </w:r>
          </w:p>
        </w:tc>
        <w:tc>
          <w:tcPr>
            <w:tcW w:type="dxa" w:w="3264"/>
          </w:tcPr>
          <w:p>
            <w:r>
              <w:t>4</w:t>
            </w:r>
          </w:p>
        </w:tc>
      </w:tr>
      <w:tr>
        <w:tc>
          <w:tcPr>
            <w:tcW w:type="dxa" w:w="3264"/>
          </w:tcPr>
          <w:p>
            <w:r>
              <w:t>9</w:t>
            </w:r>
          </w:p>
        </w:tc>
        <w:tc>
          <w:tcPr>
            <w:tcW w:type="dxa" w:w="3264"/>
          </w:tcPr>
          <w:p>
            <w:r>
              <w:t>6. Post-83f3069 Decision and Implementation Reconciliation</w:t>
            </w:r>
          </w:p>
        </w:tc>
        <w:tc>
          <w:tcPr>
            <w:tcW w:type="dxa" w:w="3264"/>
          </w:tcPr>
          <w:p>
            <w:r>
              <w:t>11</w:t>
            </w:r>
          </w:p>
        </w:tc>
      </w:tr>
    </w:tbl>
    <w:p/>
    <w:p/>
    <w:p/>
    <w:p/>
    <w:p/>
    <w:p>
      <w:r>
        <w:br w:type="page"/>
      </w:r>
    </w:p>
    <w:p>
      <w:pPr>
        <w:pStyle w:val="Heading1"/>
      </w:pPr>
      <w:r>
        <w:t>6. Post-83f3069 Decision and Implementation Reconciliation</w:t>
      </w:r>
    </w:p>
    <w:p>
      <w:pPr>
        <w:spacing w:after="120"/>
      </w:pPr>
      <w:r>
        <w:t>The following decisions were implemented after the 83f3069 documentation checkpoint and are now part of the current architecture baseline.</w:t>
      </w:r>
    </w:p>
    <w:p>
      <w:pPr>
        <w:pStyle w:val="Heading2"/>
      </w:pPr>
      <w:r>
        <w:t>6.1 Batch 17 persistence decisions</w:t>
      </w:r>
    </w:p>
    <w:p>
      <w:pPr>
        <w:spacing w:after="120"/>
      </w:pPr>
      <w:r>
        <w:t>The refresh path now has explicit transactional, failure and idempotency semantics.</w:t>
      </w:r>
    </w:p>
    <w:p>
      <w:pPr>
        <w:pStyle w:val="Heading2"/>
      </w:pPr>
      <w:r>
        <w:t>6.2 Batch 18 production decision boundary</w:t>
      </w:r>
    </w:p>
    <w:p>
      <w:pPr>
        <w:spacing w:after="120"/>
      </w:pPr>
      <w:r>
        <w:t>The projection layer is deliberately separated from the strategy layer. The projection contract supplies verified model output and trust metadata; the orchestrator remains responsible for strategic comparison and decision generation.</w:t>
      </w:r>
    </w:p>
    <w:p>
      <w:pPr>
        <w:pStyle w:val="Heading2"/>
      </w:pPr>
      <w:r>
        <w:t>6.3 Decisions still open</w:t>
      </w:r>
    </w:p>
    <w:p>
      <w:pPr>
        <w:spacing w:after="120"/>
      </w:pPr>
      <w:r>
        <w:t>End-to-end application wiring, prediction snapshot persistence, production calibration gates and live GW6 validation remain future checkpoints; they are not claimed as completed by ce1c62c.</w:t>
      </w:r>
    </w:p>
    <w:p>
      <w:r>
        <w:br w:type="page"/>
      </w:r>
    </w:p>
    <w:p>
      <w:pPr>
        <w:pStyle w:val="Heading1"/>
      </w:pPr>
      <w:r>
        <w:t>Architecture &amp; Decision Log — Full Decision Reconciliation</w:t>
      </w:r>
    </w:p>
    <w:p>
      <w:r>
        <w:t>This is the authoritative decision-history appendix. Existing AD-001–AD-043 are preserved; post-30-Sep implementation decisions are added separately and mapped to batches.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sz w:val="16"/>
              </w:rPr>
              <w:t>Batch</w:t>
            </w:r>
          </w:p>
        </w:tc>
        <w:tc>
          <w:tcPr>
            <w:tcW w:type="dxa" w:w="1632"/>
            <w:vAlign w:val="center"/>
          </w:tcPr>
          <w:p>
            <w:r/>
            <w:r>
              <w:rPr>
                <w:b/>
                <w:sz w:val="16"/>
              </w:rPr>
              <w:t>Implementation focus</w:t>
            </w:r>
          </w:p>
        </w:tc>
        <w:tc>
          <w:tcPr>
            <w:tcW w:type="dxa" w:w="1632"/>
            <w:vAlign w:val="center"/>
          </w:tcPr>
          <w:p>
            <w:r/>
            <w:r>
              <w:rPr>
                <w:b/>
                <w:sz w:val="16"/>
              </w:rPr>
              <w:t>Material change / scope</w:t>
            </w:r>
          </w:p>
        </w:tc>
        <w:tc>
          <w:tcPr>
            <w:tcW w:type="dxa" w:w="1632"/>
            <w:vAlign w:val="center"/>
          </w:tcPr>
          <w:p>
            <w:r/>
            <w:r>
              <w:rPr>
                <w:b/>
                <w:sz w:val="16"/>
              </w:rPr>
              <w:t>Evidence / validation</w:t>
            </w:r>
          </w:p>
        </w:tc>
        <w:tc>
          <w:tcPr>
            <w:tcW w:type="dxa" w:w="1632"/>
            <w:vAlign w:val="center"/>
          </w:tcPr>
          <w:p>
            <w:r/>
            <w:r>
              <w:rPr>
                <w:b/>
                <w:sz w:val="16"/>
              </w:rPr>
              <w:t>Documentation impact</w:t>
            </w:r>
          </w:p>
        </w:tc>
        <w:tc>
          <w:tcPr>
            <w:tcW w:type="dxa" w:w="1632"/>
            <w:vAlign w:val="center"/>
          </w:tcPr>
          <w:p>
            <w:r/>
            <w:r>
              <w:rPr>
                <w:b/>
                <w:sz w:val="16"/>
              </w:rPr>
              <w:t>Architecture implication</w:t>
            </w:r>
          </w:p>
        </w:tc>
      </w:tr>
      <w:tr>
        <w:tc>
          <w:tcPr>
            <w:tcW w:type="dxa" w:w="1632"/>
            <w:vAlign w:val="center"/>
          </w:tcPr>
          <w:p>
            <w:r/>
            <w:r>
              <w:rPr>
                <w:b w:val="0"/>
                <w:sz w:val="16"/>
              </w:rPr>
              <w:t>1</w:t>
            </w:r>
          </w:p>
        </w:tc>
        <w:tc>
          <w:tcPr>
            <w:tcW w:type="dxa" w:w="1632"/>
            <w:vAlign w:val="center"/>
          </w:tcPr>
          <w:p>
            <w:r/>
            <w:r>
              <w:rPr>
                <w:b w:val="0"/>
                <w:sz w:val="16"/>
              </w:rPr>
              <w:t>SQLite schema foundation</w:t>
            </w:r>
          </w:p>
        </w:tc>
        <w:tc>
          <w:tcPr>
            <w:tcW w:type="dxa" w:w="1632"/>
            <w:vAlign w:val="center"/>
          </w:tcPr>
          <w:p>
            <w:r/>
            <w:r>
              <w:rPr>
                <w:b w:val="0"/>
                <w:sz w:val="16"/>
              </w:rPr>
              <w:t>Canonical SQLite schema/infrastructure; FK/index/version/idempotent initialization; JSON/refresh behavior preserved.</w:t>
            </w:r>
          </w:p>
        </w:tc>
        <w:tc>
          <w:tcPr>
            <w:tcW w:type="dxa" w:w="1632"/>
            <w:vAlign w:val="center"/>
          </w:tcPr>
          <w:p>
            <w:r/>
            <w:r>
              <w:rPr>
                <w:b w:val="0"/>
                <w:sz w:val="16"/>
              </w:rPr>
              <w:t>“Add SQLite schema foundation”; `db/schema.sql`, `sqlite_db.py`, `test_sqlite_schema.py`; 5 focused SQLite tests; 21 regression tests; environment-limited run reported 112 passed / 24 errors.</w:t>
            </w:r>
          </w:p>
        </w:tc>
        <w:tc>
          <w:tcPr>
            <w:tcW w:type="dxa" w:w="1632"/>
            <w:vAlign w:val="center"/>
          </w:tcPr>
          <w:p>
            <w:r/>
            <w:r>
              <w:rPr>
                <w:b w:val="0"/>
                <w:sz w:val="16"/>
              </w:rPr>
              <w:t>Persistence foundation</w:t>
            </w:r>
          </w:p>
        </w:tc>
        <w:tc>
          <w:tcPr>
            <w:tcW w:type="dxa" w:w="1632"/>
            <w:vAlign w:val="center"/>
          </w:tcPr>
          <w:p>
            <w:r/>
            <w:r>
              <w:rPr>
                <w:b w:val="0"/>
                <w:sz w:val="16"/>
              </w:rPr>
              <w:t>SQLite becomes the durable target behind abstraction; schema precedes integration.</w:t>
            </w:r>
          </w:p>
        </w:tc>
      </w:tr>
      <w:tr>
        <w:tc>
          <w:tcPr>
            <w:tcW w:type="dxa" w:w="1632"/>
            <w:vAlign w:val="center"/>
          </w:tcPr>
          <w:p>
            <w:r/>
            <w:r>
              <w:rPr>
                <w:b w:val="0"/>
                <w:sz w:val="16"/>
              </w:rPr>
              <w:t>2</w:t>
            </w:r>
          </w:p>
        </w:tc>
        <w:tc>
          <w:tcPr>
            <w:tcW w:type="dxa" w:w="1632"/>
            <w:vAlign w:val="center"/>
          </w:tcPr>
          <w:p>
            <w:r/>
            <w:r>
              <w:rPr>
                <w:b w:val="0"/>
                <w:sz w:val="16"/>
              </w:rPr>
              <w:t>SQLite repository for global FPL data</w:t>
            </w:r>
          </w:p>
        </w:tc>
        <w:tc>
          <w:tcPr>
            <w:tcW w:type="dxa" w:w="1632"/>
            <w:vAlign w:val="center"/>
          </w:tcPr>
          <w:p>
            <w:r/>
            <w:r>
              <w:rPr>
                <w:b w:val="0"/>
                <w:sz w:val="16"/>
              </w:rPr>
              <w:t>Repository contract plus SQLite implementation for ingestion runs, seasons/gameweeks, teams/snapshots, players/snapshots, fixtures and current player-GW stats.</w:t>
            </w:r>
          </w:p>
        </w:tc>
        <w:tc>
          <w:tcPr>
            <w:tcW w:type="dxa" w:w="1632"/>
            <w:vAlign w:val="center"/>
          </w:tcPr>
          <w:p>
            <w:r/>
            <w:r>
              <w:rPr>
                <w:b w:val="0"/>
                <w:sz w:val="16"/>
              </w:rPr>
              <w:t>`5ebd112` — “Extend SQLite repository for global FPL data”; 26 repository tests; full suite 162.</w:t>
            </w:r>
          </w:p>
        </w:tc>
        <w:tc>
          <w:tcPr>
            <w:tcW w:type="dxa" w:w="1632"/>
            <w:vAlign w:val="center"/>
          </w:tcPr>
          <w:p>
            <w:r/>
            <w:r>
              <w:rPr>
                <w:b w:val="0"/>
                <w:sz w:val="16"/>
              </w:rPr>
              <w:t>Persistence abstraction</w:t>
            </w:r>
          </w:p>
        </w:tc>
        <w:tc>
          <w:tcPr>
            <w:tcW w:type="dxa" w:w="1632"/>
            <w:vAlign w:val="center"/>
          </w:tcPr>
          <w:p>
            <w:r/>
            <w:r>
              <w:rPr>
                <w:b w:val="0"/>
                <w:sz w:val="16"/>
              </w:rPr>
              <w:t>Business logic writes through repository; no direct SQL in strategy/business layers.</w:t>
            </w:r>
          </w:p>
        </w:tc>
      </w:tr>
      <w:tr>
        <w:tc>
          <w:tcPr>
            <w:tcW w:type="dxa" w:w="1632"/>
            <w:vAlign w:val="center"/>
          </w:tcPr>
          <w:p>
            <w:r/>
            <w:r>
              <w:rPr>
                <w:b w:val="0"/>
                <w:sz w:val="16"/>
              </w:rPr>
              <w:t>3</w:t>
            </w:r>
          </w:p>
        </w:tc>
        <w:tc>
          <w:tcPr>
            <w:tcW w:type="dxa" w:w="1632"/>
            <w:vAlign w:val="center"/>
          </w:tcPr>
          <w:p>
            <w:r/>
            <w:r>
              <w:rPr>
                <w:b w:val="0"/>
                <w:sz w:val="16"/>
              </w:rPr>
              <w:t>Global FPL refresh → SQLite</w:t>
            </w:r>
          </w:p>
        </w:tc>
        <w:tc>
          <w:tcPr>
            <w:tcW w:type="dxa" w:w="1632"/>
            <w:vAlign w:val="center"/>
          </w:tcPr>
          <w:p>
            <w:r/>
            <w:r>
              <w:rPr>
                <w:b w:val="0"/>
                <w:sz w:val="16"/>
              </w:rPr>
              <w:t>Connected official FPL global refresh to FPLDataSource → FPLRefreshManager → Repository → SQLiteRepository; normalized bootstrap/fixtures into canonical tables.</w:t>
            </w:r>
          </w:p>
        </w:tc>
        <w:tc>
          <w:tcPr>
            <w:tcW w:type="dxa" w:w="1632"/>
            <w:vAlign w:val="center"/>
          </w:tcPr>
          <w:p>
            <w:r/>
            <w:r>
              <w:rPr>
                <w:b w:val="0"/>
                <w:sz w:val="16"/>
              </w:rPr>
              <w:t>`93e2d3e` — “Connect global refresh to SQLite repository”; 10 targeted; full suite 169.</w:t>
            </w:r>
          </w:p>
        </w:tc>
        <w:tc>
          <w:tcPr>
            <w:tcW w:type="dxa" w:w="1632"/>
            <w:vAlign w:val="center"/>
          </w:tcPr>
          <w:p>
            <w:r/>
            <w:r>
              <w:rPr>
                <w:b w:val="0"/>
                <w:sz w:val="16"/>
              </w:rPr>
              <w:t>Refresh architecture</w:t>
            </w:r>
          </w:p>
        </w:tc>
        <w:tc>
          <w:tcPr>
            <w:tcW w:type="dxa" w:w="1632"/>
            <w:vAlign w:val="center"/>
          </w:tcPr>
          <w:p>
            <w:r/>
            <w:r>
              <w:rPr>
                <w:b w:val="0"/>
                <w:sz w:val="16"/>
              </w:rPr>
              <w:t>Refresh became the controlled ingestion path into canonical SQLite state.</w:t>
            </w:r>
          </w:p>
        </w:tc>
      </w:tr>
      <w:tr>
        <w:tc>
          <w:tcPr>
            <w:tcW w:type="dxa" w:w="1632"/>
            <w:vAlign w:val="center"/>
          </w:tcPr>
          <w:p>
            <w:r/>
            <w:r>
              <w:rPr>
                <w:b w:val="0"/>
                <w:sz w:val="16"/>
              </w:rPr>
              <w:t>4</w:t>
            </w:r>
          </w:p>
        </w:tc>
        <w:tc>
          <w:tcPr>
            <w:tcW w:type="dxa" w:w="1632"/>
            <w:vAlign w:val="center"/>
          </w:tcPr>
          <w:p>
            <w:r/>
            <w:r>
              <w:rPr>
                <w:b w:val="0"/>
                <w:sz w:val="16"/>
              </w:rPr>
              <w:t>Manager and league source support</w:t>
            </w:r>
          </w:p>
        </w:tc>
        <w:tc>
          <w:tcPr>
            <w:tcW w:type="dxa" w:w="1632"/>
            <w:vAlign w:val="center"/>
          </w:tcPr>
          <w:p>
            <w:r/>
            <w:r>
              <w:rPr>
                <w:b w:val="0"/>
                <w:sz w:val="16"/>
              </w:rPr>
              <w:t>Added manager profile/transfers and classic-league standings retrieval; no schema expansion.</w:t>
            </w:r>
          </w:p>
        </w:tc>
        <w:tc>
          <w:tcPr>
            <w:tcW w:type="dxa" w:w="1632"/>
            <w:vAlign w:val="center"/>
          </w:tcPr>
          <w:p>
            <w:r/>
            <w:r>
              <w:rPr>
                <w:b w:val="0"/>
                <w:sz w:val="16"/>
              </w:rPr>
              <w:t>`b435eaf` — “Add manager and league data source support”; 28 focused; project total 171.</w:t>
            </w:r>
          </w:p>
        </w:tc>
        <w:tc>
          <w:tcPr>
            <w:tcW w:type="dxa" w:w="1632"/>
            <w:vAlign w:val="center"/>
          </w:tcPr>
          <w:p>
            <w:r/>
            <w:r>
              <w:rPr>
                <w:b w:val="0"/>
                <w:sz w:val="16"/>
              </w:rPr>
              <w:t>Data-source architecture</w:t>
            </w:r>
          </w:p>
        </w:tc>
        <w:tc>
          <w:tcPr>
            <w:tcW w:type="dxa" w:w="1632"/>
            <w:vAlign w:val="center"/>
          </w:tcPr>
          <w:p>
            <w:r/>
            <w:r>
              <w:rPr>
                <w:b w:val="0"/>
                <w:sz w:val="16"/>
              </w:rPr>
              <w:t>Manager/league retrieval is separated from persistence and schema.</w:t>
            </w:r>
          </w:p>
        </w:tc>
      </w:tr>
      <w:tr>
        <w:tc>
          <w:tcPr>
            <w:tcW w:type="dxa" w:w="1632"/>
            <w:vAlign w:val="center"/>
          </w:tcPr>
          <w:p>
            <w:r/>
            <w:r>
              <w:rPr>
                <w:b w:val="0"/>
                <w:sz w:val="16"/>
              </w:rPr>
              <w:t>5</w:t>
            </w:r>
          </w:p>
        </w:tc>
        <w:tc>
          <w:tcPr>
            <w:tcW w:type="dxa" w:w="1632"/>
            <w:vAlign w:val="center"/>
          </w:tcPr>
          <w:p>
            <w:r/>
            <w:r>
              <w:rPr>
                <w:b w:val="0"/>
                <w:sz w:val="16"/>
              </w:rPr>
              <w:t>Manager state persistence</w:t>
            </w:r>
          </w:p>
        </w:tc>
        <w:tc>
          <w:tcPr>
            <w:tcW w:type="dxa" w:w="1632"/>
            <w:vAlign w:val="center"/>
          </w:tcPr>
          <w:p>
            <w:r/>
            <w:r>
              <w:rPr>
                <w:b w:val="0"/>
                <w:sz w:val="16"/>
              </w:rPr>
              <w:t>Persisted users/managers, manager GW state, picks, transfers and chips through SQLite repository.</w:t>
            </w:r>
          </w:p>
        </w:tc>
        <w:tc>
          <w:tcPr>
            <w:tcW w:type="dxa" w:w="1632"/>
            <w:vAlign w:val="center"/>
          </w:tcPr>
          <w:p>
            <w:r/>
            <w:r>
              <w:rPr>
                <w:b w:val="0"/>
                <w:sz w:val="16"/>
              </w:rPr>
              <w:t>`22e263f` — manager state persistence; project total 179.</w:t>
            </w:r>
          </w:p>
        </w:tc>
        <w:tc>
          <w:tcPr>
            <w:tcW w:type="dxa" w:w="1632"/>
            <w:vAlign w:val="center"/>
          </w:tcPr>
          <w:p>
            <w:r/>
            <w:r>
              <w:rPr>
                <w:b w:val="0"/>
                <w:sz w:val="16"/>
              </w:rPr>
              <w:t>Manager state</w:t>
            </w:r>
          </w:p>
        </w:tc>
        <w:tc>
          <w:tcPr>
            <w:tcW w:type="dxa" w:w="1632"/>
            <w:vAlign w:val="center"/>
          </w:tcPr>
          <w:p>
            <w:r/>
            <w:r>
              <w:rPr>
                <w:b w:val="0"/>
                <w:sz w:val="16"/>
              </w:rPr>
              <w:t>Authoritative manager state is persisted separately from strategic memory.</w:t>
            </w:r>
          </w:p>
        </w:tc>
      </w:tr>
      <w:tr>
        <w:tc>
          <w:tcPr>
            <w:tcW w:type="dxa" w:w="1632"/>
            <w:vAlign w:val="center"/>
          </w:tcPr>
          <w:p>
            <w:r/>
            <w:r>
              <w:rPr>
                <w:b w:val="0"/>
                <w:sz w:val="16"/>
              </w:rPr>
              <w:t>6</w:t>
            </w:r>
          </w:p>
        </w:tc>
        <w:tc>
          <w:tcPr>
            <w:tcW w:type="dxa" w:w="1632"/>
            <w:vAlign w:val="center"/>
          </w:tcPr>
          <w:p>
            <w:r/>
            <w:r>
              <w:rPr>
                <w:b w:val="0"/>
                <w:sz w:val="16"/>
              </w:rPr>
              <w:t>Multi-league and rival persistence</w:t>
            </w:r>
          </w:p>
        </w:tc>
        <w:tc>
          <w:tcPr>
            <w:tcW w:type="dxa" w:w="1632"/>
            <w:vAlign w:val="center"/>
          </w:tcPr>
          <w:p>
            <w:r/>
            <w:r>
              <w:rPr>
                <w:b w:val="0"/>
                <w:sz w:val="16"/>
              </w:rPr>
              <w:t>Added leagues, many-to-many league membership, league standings by league/manager/GW, and rival squad snapshots; supports overlapping memberships and paginated standings.</w:t>
            </w:r>
          </w:p>
        </w:tc>
        <w:tc>
          <w:tcPr>
            <w:tcW w:type="dxa" w:w="1632"/>
            <w:vAlign w:val="center"/>
          </w:tcPr>
          <w:p>
            <w:r/>
            <w:r>
              <w:rPr>
                <w:b w:val="0"/>
                <w:sz w:val="16"/>
              </w:rPr>
              <w:t>`60b381f` — “Add multi-league and rival persistence”; 48 focused; full suite 181.</w:t>
            </w:r>
          </w:p>
        </w:tc>
        <w:tc>
          <w:tcPr>
            <w:tcW w:type="dxa" w:w="1632"/>
            <w:vAlign w:val="center"/>
          </w:tcPr>
          <w:p>
            <w:r/>
            <w:r>
              <w:rPr>
                <w:b w:val="0"/>
                <w:sz w:val="16"/>
              </w:rPr>
              <w:t>League/rival architecture</w:t>
            </w:r>
          </w:p>
        </w:tc>
        <w:tc>
          <w:tcPr>
            <w:tcW w:type="dxa" w:w="1632"/>
            <w:vAlign w:val="center"/>
          </w:tcPr>
          <w:p>
            <w:r/>
            <w:r>
              <w:rPr>
                <w:b w:val="0"/>
                <w:sz w:val="16"/>
              </w:rPr>
              <w:t>One universal team optimizer; leagues/rivals are contextual inputs, never separate team optimizers.</w:t>
            </w:r>
          </w:p>
        </w:tc>
      </w:tr>
      <w:tr>
        <w:tc>
          <w:tcPr>
            <w:tcW w:type="dxa" w:w="1632"/>
            <w:vAlign w:val="center"/>
          </w:tcPr>
          <w:p>
            <w:r/>
            <w:r>
              <w:rPr>
                <w:b w:val="0"/>
                <w:sz w:val="16"/>
              </w:rPr>
              <w:t>7</w:t>
            </w:r>
          </w:p>
        </w:tc>
        <w:tc>
          <w:tcPr>
            <w:tcW w:type="dxa" w:w="1632"/>
            <w:vAlign w:val="center"/>
          </w:tcPr>
          <w:p>
            <w:r/>
            <w:r>
              <w:rPr>
                <w:b w:val="0"/>
                <w:sz w:val="16"/>
              </w:rPr>
              <w:t>Freshness and refresh orchestration</w:t>
            </w:r>
          </w:p>
        </w:tc>
        <w:tc>
          <w:tcPr>
            <w:tcW w:type="dxa" w:w="1632"/>
            <w:vAlign w:val="center"/>
          </w:tcPr>
          <w:p>
            <w:r/>
            <w:r>
              <w:rPr>
                <w:b w:val="0"/>
                <w:sz w:val="16"/>
              </w:rPr>
              <w:t>Persisted dataset freshness for global, manager and league data; refresh-if-needed skips fresh data, refreshes stale/missing data, and preserves prior successful state on failure.</w:t>
            </w:r>
          </w:p>
        </w:tc>
        <w:tc>
          <w:tcPr>
            <w:tcW w:type="dxa" w:w="1632"/>
            <w:vAlign w:val="center"/>
          </w:tcPr>
          <w:p>
            <w:r/>
            <w:r>
              <w:rPr>
                <w:b w:val="0"/>
                <w:sz w:val="16"/>
              </w:rPr>
              <w:t>55 focused + 69 regression tests during development; user-local full suite 187.</w:t>
            </w:r>
          </w:p>
        </w:tc>
        <w:tc>
          <w:tcPr>
            <w:tcW w:type="dxa" w:w="1632"/>
            <w:vAlign w:val="center"/>
          </w:tcPr>
          <w:p>
            <w:r/>
            <w:r>
              <w:rPr>
                <w:b w:val="0"/>
                <w:sz w:val="16"/>
              </w:rPr>
              <w:t>Operational architecture</w:t>
            </w:r>
          </w:p>
        </w:tc>
        <w:tc>
          <w:tcPr>
            <w:tcW w:type="dxa" w:w="1632"/>
            <w:vAlign w:val="center"/>
          </w:tcPr>
          <w:p>
            <w:r/>
            <w:r>
              <w:rPr>
                <w:b w:val="0"/>
                <w:sz w:val="16"/>
              </w:rPr>
              <w:t>Freshness policy decides usability; refresh manager performs retrieval; prompt ≠ data refresh.</w:t>
            </w:r>
          </w:p>
        </w:tc>
      </w:tr>
      <w:tr>
        <w:tc>
          <w:tcPr>
            <w:tcW w:type="dxa" w:w="1632"/>
            <w:vAlign w:val="center"/>
          </w:tcPr>
          <w:p>
            <w:r/>
            <w:r>
              <w:rPr>
                <w:b w:val="0"/>
                <w:sz w:val="16"/>
              </w:rPr>
              <w:t>8</w:t>
            </w:r>
          </w:p>
        </w:tc>
        <w:tc>
          <w:tcPr>
            <w:tcW w:type="dxa" w:w="1632"/>
            <w:vAlign w:val="center"/>
          </w:tcPr>
          <w:p>
            <w:r/>
            <w:r>
              <w:rPr>
                <w:b w:val="0"/>
                <w:sz w:val="16"/>
              </w:rPr>
              <w:t>Fixture-level player expected points</w:t>
            </w:r>
          </w:p>
        </w:tc>
        <w:tc>
          <w:tcPr>
            <w:tcW w:type="dxa" w:w="1632"/>
            <w:vAlign w:val="center"/>
          </w:tcPr>
          <w:p>
            <w:r/>
            <w:r>
              <w:rPr>
                <w:b w:val="0"/>
                <w:sz w:val="16"/>
              </w:rPr>
              <w:t>Added player fixture model bridging team xG → player xG/xA → clean sheets → bonus → expected points; explicit incomplete/NO-DATA behavior.</w:t>
            </w:r>
          </w:p>
        </w:tc>
        <w:tc>
          <w:tcPr>
            <w:tcW w:type="dxa" w:w="1632"/>
            <w:vAlign w:val="center"/>
          </w:tcPr>
          <w:p>
            <w:r/>
            <w:r>
              <w:rPr>
                <w:b w:val="0"/>
                <w:sz w:val="16"/>
              </w:rPr>
              <w:t>`c0ab52f` — “Add fixture-level player expected points”; 26 focused; full suite 197.</w:t>
            </w:r>
          </w:p>
        </w:tc>
        <w:tc>
          <w:tcPr>
            <w:tcW w:type="dxa" w:w="1632"/>
            <w:vAlign w:val="center"/>
          </w:tcPr>
          <w:p>
            <w:r/>
            <w:r>
              <w:rPr>
                <w:b w:val="0"/>
                <w:sz w:val="16"/>
              </w:rPr>
              <w:t>Prediction architecture</w:t>
            </w:r>
          </w:p>
        </w:tc>
        <w:tc>
          <w:tcPr>
            <w:tcW w:type="dxa" w:w="1632"/>
            <w:vAlign w:val="center"/>
          </w:tcPr>
          <w:p>
            <w:r/>
            <w:r>
              <w:rPr>
                <w:b w:val="0"/>
                <w:sz w:val="16"/>
              </w:rPr>
              <w:t>Fixture xP is an adapter/model bridge; no invented missing inputs; Historical Prior remains diagnostic-only.</w:t>
            </w:r>
          </w:p>
        </w:tc>
      </w:tr>
      <w:tr>
        <w:tc>
          <w:tcPr>
            <w:tcW w:type="dxa" w:w="1632"/>
            <w:vAlign w:val="center"/>
          </w:tcPr>
          <w:p>
            <w:r/>
            <w:r>
              <w:rPr>
                <w:b w:val="0"/>
                <w:sz w:val="16"/>
              </w:rPr>
              <w:t>9</w:t>
            </w:r>
          </w:p>
        </w:tc>
        <w:tc>
          <w:tcPr>
            <w:tcW w:type="dxa" w:w="1632"/>
            <w:vAlign w:val="center"/>
          </w:tcPr>
          <w:p>
            <w:r/>
            <w:r>
              <w:rPr>
                <w:b w:val="0"/>
                <w:sz w:val="16"/>
              </w:rPr>
              <w:t>Expected minutes / start probability</w:t>
            </w:r>
          </w:p>
        </w:tc>
        <w:tc>
          <w:tcPr>
            <w:tcW w:type="dxa" w:w="1632"/>
            <w:vAlign w:val="center"/>
          </w:tcPr>
          <w:p>
            <w:r/>
            <w:r>
              <w:rPr>
                <w:b w:val="0"/>
                <w:sz w:val="16"/>
              </w:rPr>
              <w:t>Added availability → start probability → expected minutes → player xG/xA → fixture xP chain; V1 uses Expected Minutes = 90 × Start Probability.</w:t>
            </w:r>
          </w:p>
        </w:tc>
        <w:tc>
          <w:tcPr>
            <w:tcW w:type="dxa" w:w="1632"/>
            <w:vAlign w:val="center"/>
          </w:tcPr>
          <w:p>
            <w:r/>
            <w:r>
              <w:rPr>
                <w:b w:val="0"/>
                <w:sz w:val="16"/>
              </w:rPr>
              <w:t>`bd413c2` — “Add player expected minutes model”; 23 focused; full suite 208.</w:t>
            </w:r>
          </w:p>
        </w:tc>
        <w:tc>
          <w:tcPr>
            <w:tcW w:type="dxa" w:w="1632"/>
            <w:vAlign w:val="center"/>
          </w:tcPr>
          <w:p>
            <w:r/>
            <w:r>
              <w:rPr>
                <w:b w:val="0"/>
                <w:sz w:val="16"/>
              </w:rPr>
              <w:t>Prediction architecture</w:t>
            </w:r>
          </w:p>
        </w:tc>
        <w:tc>
          <w:tcPr>
            <w:tcW w:type="dxa" w:w="1632"/>
            <w:vAlign w:val="center"/>
          </w:tcPr>
          <w:p>
            <w:r/>
            <w:r>
              <w:rPr>
                <w:b w:val="0"/>
                <w:sz w:val="16"/>
              </w:rPr>
              <w:t>Expected Minutes precedes production xP; model exposes completeness/warnings/version.</w:t>
            </w:r>
          </w:p>
        </w:tc>
      </w:tr>
      <w:tr>
        <w:tc>
          <w:tcPr>
            <w:tcW w:type="dxa" w:w="1632"/>
            <w:vAlign w:val="center"/>
          </w:tcPr>
          <w:p>
            <w:r/>
            <w:r>
              <w:rPr>
                <w:b w:val="0"/>
                <w:sz w:val="16"/>
              </w:rPr>
              <w:t>10</w:t>
            </w:r>
          </w:p>
        </w:tc>
        <w:tc>
          <w:tcPr>
            <w:tcW w:type="dxa" w:w="1632"/>
            <w:vAlign w:val="center"/>
          </w:tcPr>
          <w:p>
            <w:r/>
            <w:r>
              <w:rPr>
                <w:b w:val="0"/>
                <w:sz w:val="16"/>
              </w:rPr>
              <w:t>Legal squad optimizer</w:t>
            </w:r>
          </w:p>
        </w:tc>
        <w:tc>
          <w:tcPr>
            <w:tcW w:type="dxa" w:w="1632"/>
            <w:vAlign w:val="center"/>
          </w:tcPr>
          <w:p>
            <w:r/>
            <w:r>
              <w:rPr>
                <w:b w:val="0"/>
                <w:sz w:val="16"/>
              </w:rPr>
              <w:t>Added deterministic legal 15-player squad optimization enforcing positions, budget, max three per club, legal XI, transfer hits and warnings.</w:t>
            </w:r>
          </w:p>
        </w:tc>
        <w:tc>
          <w:tcPr>
            <w:tcW w:type="dxa" w:w="1632"/>
            <w:vAlign w:val="center"/>
          </w:tcPr>
          <w:p>
            <w:r/>
            <w:r>
              <w:rPr>
                <w:b w:val="0"/>
                <w:sz w:val="16"/>
              </w:rPr>
              <w:t>`2224b01` — “Add legal squad optimizer”; full suite 213.</w:t>
            </w:r>
          </w:p>
        </w:tc>
        <w:tc>
          <w:tcPr>
            <w:tcW w:type="dxa" w:w="1632"/>
            <w:vAlign w:val="center"/>
          </w:tcPr>
          <w:p>
            <w:r/>
            <w:r>
              <w:rPr>
                <w:b w:val="0"/>
                <w:sz w:val="16"/>
              </w:rPr>
              <w:t>Strategy/optimization</w:t>
            </w:r>
          </w:p>
        </w:tc>
        <w:tc>
          <w:tcPr>
            <w:tcW w:type="dxa" w:w="1632"/>
            <w:vAlign w:val="center"/>
          </w:tcPr>
          <w:p>
            <w:r/>
            <w:r>
              <w:rPr>
                <w:b w:val="0"/>
                <w:sz w:val="16"/>
              </w:rPr>
              <w:t>Expected points feed a legality-constrained optimizer; legality is explicit, not an LLM responsibility.</w:t>
            </w:r>
          </w:p>
        </w:tc>
      </w:tr>
      <w:tr>
        <w:tc>
          <w:tcPr>
            <w:tcW w:type="dxa" w:w="1632"/>
            <w:vAlign w:val="center"/>
          </w:tcPr>
          <w:p>
            <w:r/>
            <w:r>
              <w:rPr>
                <w:b w:val="0"/>
                <w:sz w:val="16"/>
              </w:rPr>
              <w:t>11</w:t>
            </w:r>
          </w:p>
        </w:tc>
        <w:tc>
          <w:tcPr>
            <w:tcW w:type="dxa" w:w="1632"/>
            <w:vAlign w:val="center"/>
          </w:tcPr>
          <w:p>
            <w:r/>
            <w:r>
              <w:rPr>
                <w:b w:val="0"/>
                <w:sz w:val="16"/>
              </w:rPr>
              <w:t>Expected Points V2 + multi-GW transfer optimization</w:t>
            </w:r>
          </w:p>
        </w:tc>
        <w:tc>
          <w:tcPr>
            <w:tcW w:type="dxa" w:w="1632"/>
            <w:vAlign w:val="center"/>
          </w:tcPr>
          <w:p>
            <w:r/>
            <w:r>
              <w:rPr>
                <w:b w:val="0"/>
                <w:sz w:val="16"/>
              </w:rPr>
              <w:t>Upgraded xP interface and player fixture model; added bounded multi-GW transfer optimization with rolling free transfers, bank/prices, hits and legality.</w:t>
            </w:r>
          </w:p>
        </w:tc>
        <w:tc>
          <w:tcPr>
            <w:tcW w:type="dxa" w:w="1632"/>
            <w:vAlign w:val="center"/>
          </w:tcPr>
          <w:p>
            <w:r/>
            <w:r>
              <w:rPr>
                <w:b w:val="0"/>
                <w:sz w:val="16"/>
              </w:rPr>
              <w:t>`9ba663b` — “Add multi-GW transfer optimization”; full suite 218.</w:t>
            </w:r>
          </w:p>
        </w:tc>
        <w:tc>
          <w:tcPr>
            <w:tcW w:type="dxa" w:w="1632"/>
            <w:vAlign w:val="center"/>
          </w:tcPr>
          <w:p>
            <w:r/>
            <w:r>
              <w:rPr>
                <w:b w:val="0"/>
                <w:sz w:val="16"/>
              </w:rPr>
              <w:t>Multi-GW strategy</w:t>
            </w:r>
          </w:p>
        </w:tc>
        <w:tc>
          <w:tcPr>
            <w:tcW w:type="dxa" w:w="1632"/>
            <w:vAlign w:val="center"/>
          </w:tcPr>
          <w:p>
            <w:r/>
            <w:r>
              <w:rPr>
                <w:b w:val="0"/>
                <w:sz w:val="16"/>
              </w:rPr>
              <w:t>Optimize over a bounded future horizon with explicit transfer costs; retain no-data/completeness behavior.</w:t>
            </w:r>
          </w:p>
        </w:tc>
      </w:tr>
      <w:tr>
        <w:tc>
          <w:tcPr>
            <w:tcW w:type="dxa" w:w="1632"/>
            <w:vAlign w:val="center"/>
          </w:tcPr>
          <w:p>
            <w:r/>
            <w:r>
              <w:rPr>
                <w:b w:val="0"/>
                <w:sz w:val="16"/>
              </w:rPr>
              <w:t>12</w:t>
            </w:r>
          </w:p>
        </w:tc>
        <w:tc>
          <w:tcPr>
            <w:tcW w:type="dxa" w:w="1632"/>
            <w:vAlign w:val="center"/>
          </w:tcPr>
          <w:p>
            <w:r/>
            <w:r>
              <w:rPr>
                <w:b w:val="0"/>
                <w:sz w:val="16"/>
              </w:rPr>
              <w:t>Captain optimization</w:t>
            </w:r>
          </w:p>
        </w:tc>
        <w:tc>
          <w:tcPr>
            <w:tcW w:type="dxa" w:w="1632"/>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632"/>
            <w:vAlign w:val="center"/>
          </w:tcPr>
          <w:p>
            <w:r/>
            <w:r>
              <w:rPr>
                <w:b w:val="0"/>
                <w:sz w:val="16"/>
              </w:rPr>
              <w:t>`c877c7d` — “Add captain optimization”; 12 internal focused tests; full suite 223.</w:t>
            </w:r>
          </w:p>
        </w:tc>
        <w:tc>
          <w:tcPr>
            <w:tcW w:type="dxa" w:w="1632"/>
            <w:vAlign w:val="center"/>
          </w:tcPr>
          <w:p>
            <w:r/>
            <w:r>
              <w:rPr>
                <w:b w:val="0"/>
                <w:sz w:val="16"/>
              </w:rPr>
              <w:t>Captaincy</w:t>
            </w:r>
          </w:p>
        </w:tc>
        <w:tc>
          <w:tcPr>
            <w:tcW w:type="dxa" w:w="1632"/>
            <w:vAlign w:val="center"/>
          </w:tcPr>
          <w:p>
            <w:r/>
            <w:r>
              <w:rPr>
                <w:b w:val="0"/>
                <w:sz w:val="16"/>
              </w:rPr>
              <w:t>Captaincy is a projection-driven decision layer, not an ownership-driven ranking.</w:t>
            </w:r>
          </w:p>
        </w:tc>
      </w:tr>
      <w:tr>
        <w:tc>
          <w:tcPr>
            <w:tcW w:type="dxa" w:w="1632"/>
            <w:vAlign w:val="center"/>
          </w:tcPr>
          <w:p>
            <w:r/>
            <w:r>
              <w:rPr>
                <w:b w:val="0"/>
                <w:sz w:val="16"/>
              </w:rPr>
              <w:t>13</w:t>
            </w:r>
          </w:p>
        </w:tc>
        <w:tc>
          <w:tcPr>
            <w:tcW w:type="dxa" w:w="1632"/>
            <w:vAlign w:val="center"/>
          </w:tcPr>
          <w:p>
            <w:r/>
            <w:r>
              <w:rPr>
                <w:b w:val="0"/>
                <w:sz w:val="16"/>
              </w:rPr>
              <w:t>Strategy evaluation foundation</w:t>
            </w:r>
          </w:p>
        </w:tc>
        <w:tc>
          <w:tcPr>
            <w:tcW w:type="dxa" w:w="1632"/>
            <w:vAlign w:val="center"/>
          </w:tcPr>
          <w:p>
            <w:r/>
            <w:r>
              <w:rPr>
                <w:b w:val="0"/>
                <w:sz w:val="16"/>
              </w:rPr>
              <w:t>Separated forecast evaluation from decision evaluation; captured information state, prediction/decision, actual outcome, errors/opportunity cost and point-in-time snapshot.</w:t>
            </w:r>
          </w:p>
        </w:tc>
        <w:tc>
          <w:tcPr>
            <w:tcW w:type="dxa" w:w="1632"/>
            <w:vAlign w:val="center"/>
          </w:tcPr>
          <w:p>
            <w:r/>
            <w:r>
              <w:rPr>
                <w:b w:val="0"/>
                <w:sz w:val="16"/>
              </w:rPr>
              <w:t>`5348edd` — “Add strategy evaluation foundation”; 9 focused; full suite 232.</w:t>
            </w:r>
          </w:p>
        </w:tc>
        <w:tc>
          <w:tcPr>
            <w:tcW w:type="dxa" w:w="1632"/>
            <w:vAlign w:val="center"/>
          </w:tcPr>
          <w:p>
            <w:r/>
            <w:r>
              <w:rPr>
                <w:b w:val="0"/>
                <w:sz w:val="16"/>
              </w:rPr>
              <w:t>Evaluation architecture</w:t>
            </w:r>
          </w:p>
        </w:tc>
        <w:tc>
          <w:tcPr>
            <w:tcW w:type="dxa" w:w="1632"/>
            <w:vAlign w:val="center"/>
          </w:tcPr>
          <w:p>
            <w:r/>
            <w:r>
              <w:rPr>
                <w:b w:val="0"/>
                <w:sz w:val="16"/>
              </w:rPr>
              <w:t>Forecast quality and strategy decision quality are evaluated separately; live and walk-forward evaluation remain distinct.</w:t>
            </w:r>
          </w:p>
        </w:tc>
      </w:tr>
      <w:tr>
        <w:tc>
          <w:tcPr>
            <w:tcW w:type="dxa" w:w="1632"/>
            <w:vAlign w:val="center"/>
          </w:tcPr>
          <w:p>
            <w:r/>
            <w:r>
              <w:rPr>
                <w:b w:val="0"/>
                <w:sz w:val="16"/>
              </w:rPr>
              <w:t>14</w:t>
            </w:r>
          </w:p>
        </w:tc>
        <w:tc>
          <w:tcPr>
            <w:tcW w:type="dxa" w:w="1632"/>
            <w:vAlign w:val="center"/>
          </w:tcPr>
          <w:p>
            <w:r/>
            <w:r>
              <w:rPr>
                <w:b w:val="0"/>
                <w:sz w:val="16"/>
              </w:rPr>
              <w:t>Future horizon and scenario foundation</w:t>
            </w:r>
          </w:p>
        </w:tc>
        <w:tc>
          <w:tcPr>
            <w:tcW w:type="dxa" w:w="1632"/>
            <w:vAlign w:val="center"/>
          </w:tcPr>
          <w:p>
            <w:r/>
            <w:r>
              <w:rPr>
                <w:b w:val="0"/>
                <w:sz w:val="16"/>
              </w:rPr>
              <w:t>Added arbitrary future GW horizon, DGW/BGW detection, completeness/warnings and scenario aggregation without inventing fixtures; no decision logic inside scenario layer.</w:t>
            </w:r>
          </w:p>
        </w:tc>
        <w:tc>
          <w:tcPr>
            <w:tcW w:type="dxa" w:w="1632"/>
            <w:vAlign w:val="center"/>
          </w:tcPr>
          <w:p>
            <w:r/>
            <w:r>
              <w:rPr>
                <w:b w:val="0"/>
                <w:sz w:val="16"/>
              </w:rPr>
              <w:t>`35657c4` — “Add future horizon scenario foundation”; 6 focused; full suite 238.</w:t>
            </w:r>
          </w:p>
        </w:tc>
        <w:tc>
          <w:tcPr>
            <w:tcW w:type="dxa" w:w="1632"/>
            <w:vAlign w:val="center"/>
          </w:tcPr>
          <w:p>
            <w:r/>
            <w:r>
              <w:rPr>
                <w:b w:val="0"/>
                <w:sz w:val="16"/>
              </w:rPr>
              <w:t>Scenario architecture</w:t>
            </w:r>
          </w:p>
        </w:tc>
        <w:tc>
          <w:tcPr>
            <w:tcW w:type="dxa" w:w="1632"/>
            <w:vAlign w:val="center"/>
          </w:tcPr>
          <w:p>
            <w:r/>
            <w:r>
              <w:rPr>
                <w:b w:val="0"/>
                <w:sz w:val="16"/>
              </w:rPr>
              <w:t>Forecast → horizon → scenario evaluation becomes an explicit layer before transfer/chip decisions.</w:t>
            </w:r>
          </w:p>
        </w:tc>
      </w:tr>
      <w:tr>
        <w:tc>
          <w:tcPr>
            <w:tcW w:type="dxa" w:w="1632"/>
            <w:vAlign w:val="center"/>
          </w:tcPr>
          <w:p>
            <w:r/>
            <w:r>
              <w:rPr>
                <w:b w:val="0"/>
                <w:sz w:val="16"/>
              </w:rPr>
              <w:t>15</w:t>
            </w:r>
          </w:p>
        </w:tc>
        <w:tc>
          <w:tcPr>
            <w:tcW w:type="dxa" w:w="1632"/>
            <w:vAlign w:val="center"/>
          </w:tcPr>
          <w:p>
            <w:r/>
            <w:r>
              <w:rPr>
                <w:b w:val="0"/>
                <w:sz w:val="16"/>
              </w:rPr>
              <w:t>Chip counterfactual strategy</w:t>
            </w:r>
          </w:p>
        </w:tc>
        <w:tc>
          <w:tcPr>
            <w:tcW w:type="dxa" w:w="1632"/>
            <w:vAlign w:val="center"/>
          </w:tcPr>
          <w:p>
            <w:r/>
            <w:r>
              <w:rPr>
                <w:b w:val="0"/>
                <w:sz w:val="16"/>
              </w:rPr>
              <w:t>Added season-aware Wildcard 1/2 rules and counterfactual evaluation for Wildcard, Free Hit, Bench Boost and Triple Captain; incremental value/opportunity cost and warnings.</w:t>
            </w:r>
          </w:p>
        </w:tc>
        <w:tc>
          <w:tcPr>
            <w:tcW w:type="dxa" w:w="1632"/>
            <w:vAlign w:val="center"/>
          </w:tcPr>
          <w:p>
            <w:r/>
            <w:r>
              <w:rPr>
                <w:b w:val="0"/>
                <w:sz w:val="16"/>
              </w:rPr>
              <w:t>`851bc7e` — “Add chip counterfactual strategy”; full suite 246.</w:t>
            </w:r>
          </w:p>
        </w:tc>
        <w:tc>
          <w:tcPr>
            <w:tcW w:type="dxa" w:w="1632"/>
            <w:vAlign w:val="center"/>
          </w:tcPr>
          <w:p>
            <w:r/>
            <w:r>
              <w:rPr>
                <w:b w:val="0"/>
                <w:sz w:val="16"/>
              </w:rPr>
              <w:t>Chip architecture</w:t>
            </w:r>
          </w:p>
        </w:tc>
        <w:tc>
          <w:tcPr>
            <w:tcW w:type="dxa" w:w="1632"/>
            <w:vAlign w:val="center"/>
          </w:tcPr>
          <w:p>
            <w:r/>
            <w:r>
              <w:rPr>
                <w:b w:val="0"/>
                <w:sz w:val="16"/>
              </w:rPr>
              <w:t>Single-chip counterfactuals first; bounded multi-chip search deferred; rules are season-aware and versioned.</w:t>
            </w:r>
          </w:p>
        </w:tc>
      </w:tr>
      <w:tr>
        <w:tc>
          <w:tcPr>
            <w:tcW w:type="dxa" w:w="1632"/>
            <w:vAlign w:val="center"/>
          </w:tcPr>
          <w:p>
            <w:r/>
            <w:r>
              <w:rPr>
                <w:b w:val="0"/>
                <w:sz w:val="16"/>
              </w:rPr>
              <w:t>16</w:t>
            </w:r>
          </w:p>
        </w:tc>
        <w:tc>
          <w:tcPr>
            <w:tcW w:type="dxa" w:w="1632"/>
            <w:vAlign w:val="center"/>
          </w:tcPr>
          <w:p>
            <w:r/>
            <w:r>
              <w:rPr>
                <w:b w:val="0"/>
                <w:sz w:val="16"/>
              </w:rPr>
              <w:t>Dream Team + multi-GW strategy</w:t>
            </w:r>
          </w:p>
        </w:tc>
        <w:tc>
          <w:tcPr>
            <w:tcW w:type="dxa" w:w="1632"/>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632"/>
            <w:vAlign w:val="center"/>
          </w:tcPr>
          <w:p>
            <w:r/>
            <w:r>
              <w:rPr>
                <w:b w:val="0"/>
                <w:sz w:val="16"/>
              </w:rPr>
              <w:t>`b7508b5` — Dream Team/orchestration; 254 tests. `41e9b6c` — multi-GW strategy; 259 tests.</w:t>
            </w:r>
          </w:p>
        </w:tc>
        <w:tc>
          <w:tcPr>
            <w:tcW w:type="dxa" w:w="1632"/>
            <w:vAlign w:val="center"/>
          </w:tcPr>
          <w:p>
            <w:r/>
            <w:r>
              <w:rPr>
                <w:b w:val="0"/>
                <w:sz w:val="16"/>
              </w:rPr>
              <w:t>Strategy orchestration</w:t>
            </w:r>
          </w:p>
        </w:tc>
        <w:tc>
          <w:tcPr>
            <w:tcW w:type="dxa" w:w="1632"/>
            <w:vAlign w:val="center"/>
          </w:tcPr>
          <w:p>
            <w:r/>
            <w:r>
              <w:rPr>
                <w:b w:val="0"/>
                <w:sz w:val="16"/>
              </w:rPr>
              <w:t>Dream Team is benchmark/context, not future input; rivals and Dream Team do not replace the universal optimizer.</w:t>
            </w:r>
          </w:p>
        </w:tc>
      </w:tr>
      <w:tr>
        <w:tc>
          <w:tcPr>
            <w:tcW w:type="dxa" w:w="1632"/>
            <w:vAlign w:val="center"/>
          </w:tcPr>
          <w:p>
            <w:r/>
            <w:r>
              <w:rPr>
                <w:b w:val="0"/>
                <w:sz w:val="16"/>
              </w:rPr>
              <w:t>17</w:t>
            </w:r>
          </w:p>
        </w:tc>
        <w:tc>
          <w:tcPr>
            <w:tcW w:type="dxa" w:w="1632"/>
            <w:vAlign w:val="center"/>
          </w:tcPr>
          <w:p>
            <w:r/>
            <w:r>
              <w:rPr>
                <w:b w:val="0"/>
                <w:sz w:val="16"/>
              </w:rPr>
              <w:t>SQLite refresh reliability</w:t>
            </w:r>
          </w:p>
        </w:tc>
        <w:tc>
          <w:tcPr>
            <w:tcW w:type="dxa" w:w="1632"/>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632"/>
            <w:vAlign w:val="center"/>
          </w:tcPr>
          <w:p>
            <w:r/>
            <w:r>
              <w:rPr>
                <w:b w:val="0"/>
                <w:sz w:val="16"/>
              </w:rPr>
              <w:t>`502809e`, `b4c20b1`, `fbacb99`; 64 persistence/refresh/idempotency tests; latest pre-18 checkpoint `fbacb99`.</w:t>
            </w:r>
          </w:p>
        </w:tc>
        <w:tc>
          <w:tcPr>
            <w:tcW w:type="dxa" w:w="1632"/>
            <w:vAlign w:val="center"/>
          </w:tcPr>
          <w:p>
            <w:r/>
            <w:r>
              <w:rPr>
                <w:b w:val="0"/>
                <w:sz w:val="16"/>
              </w:rPr>
              <w:t>Persistence reliability</w:t>
            </w:r>
          </w:p>
        </w:tc>
        <w:tc>
          <w:tcPr>
            <w:tcW w:type="dxa" w:w="1632"/>
            <w:vAlign w:val="center"/>
          </w:tcPr>
          <w:p>
            <w:r/>
            <w:r>
              <w:rPr>
                <w:b w:val="0"/>
                <w:sz w:val="16"/>
              </w:rPr>
              <w:t>Canonical transaction and ingestion audit boundary are explicit; FAILED refresh makes freshness STALE while preserving prior canonical data.</w:t>
            </w:r>
          </w:p>
        </w:tc>
      </w:tr>
      <w:tr>
        <w:tc>
          <w:tcPr>
            <w:tcW w:type="dxa" w:w="1632"/>
            <w:vAlign w:val="center"/>
          </w:tcPr>
          <w:p>
            <w:r/>
            <w:r>
              <w:rPr>
                <w:b w:val="0"/>
                <w:sz w:val="16"/>
              </w:rPr>
              <w:t>18</w:t>
            </w:r>
          </w:p>
        </w:tc>
        <w:tc>
          <w:tcPr>
            <w:tcW w:type="dxa" w:w="1632"/>
            <w:vAlign w:val="center"/>
          </w:tcPr>
          <w:p>
            <w:r/>
            <w:r>
              <w:rPr>
                <w:b w:val="0"/>
                <w:sz w:val="16"/>
              </w:rPr>
              <w:t>Production projection + strategy adapter</w:t>
            </w:r>
          </w:p>
        </w:tc>
        <w:tc>
          <w:tcPr>
            <w:tcW w:type="dxa" w:w="1632"/>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632"/>
            <w:vAlign w:val="center"/>
          </w:tcPr>
          <w:p>
            <w:r/>
            <w:r>
              <w:rPr>
                <w:b w:val="0"/>
                <w:sz w:val="16"/>
              </w:rPr>
              <w:t>`0905d96` — production projection; `ce1c62c` — orchestrator adapter; 6 focused for 18A, 16 focused for 18B; full suite 282 after 18B.</w:t>
            </w:r>
          </w:p>
        </w:tc>
        <w:tc>
          <w:tcPr>
            <w:tcW w:type="dxa" w:w="1632"/>
            <w:vAlign w:val="center"/>
          </w:tcPr>
          <w:p>
            <w:r/>
            <w:r>
              <w:rPr>
                <w:b w:val="0"/>
                <w:sz w:val="16"/>
              </w:rPr>
              <w:t>Production integration</w:t>
            </w:r>
          </w:p>
        </w:tc>
        <w:tc>
          <w:tcPr>
            <w:tcW w:type="dxa" w:w="1632"/>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sz w:val="16"/>
              </w:rPr>
              <w:t>Decision area</w:t>
            </w:r>
          </w:p>
        </w:tc>
        <w:tc>
          <w:tcPr>
            <w:tcW w:type="dxa" w:w="4896"/>
            <w:vAlign w:val="center"/>
          </w:tcPr>
          <w:p>
            <w:r/>
            <w:r>
              <w:rPr>
                <w:b/>
                <w:sz w:val="16"/>
              </w:rPr>
              <w:t>Current documented decision</w:t>
            </w:r>
          </w:p>
        </w:tc>
      </w:tr>
      <w:tr>
        <w:tc>
          <w:tcPr>
            <w:tcW w:type="dxa" w:w="4896"/>
            <w:vAlign w:val="center"/>
          </w:tcPr>
          <w:p>
            <w:r/>
            <w:r>
              <w:rPr>
                <w:b w:val="0"/>
                <w:sz w:val="16"/>
              </w:rPr>
              <w:t>Truth hierarchy</w:t>
            </w:r>
          </w:p>
        </w:tc>
        <w:tc>
          <w:tcPr>
            <w:tcW w:type="dxa" w:w="4896"/>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4896"/>
            <w:vAlign w:val="center"/>
          </w:tcPr>
          <w:p>
            <w:r/>
            <w:r>
              <w:rPr>
                <w:b w:val="0"/>
                <w:sz w:val="16"/>
              </w:rPr>
              <w:t>Historical governance</w:t>
            </w:r>
          </w:p>
        </w:tc>
        <w:tc>
          <w:tcPr>
            <w:tcW w:type="dxa" w:w="4896"/>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4896"/>
            <w:vAlign w:val="center"/>
          </w:tcPr>
          <w:p>
            <w:r/>
            <w:r>
              <w:rPr>
                <w:b w:val="0"/>
                <w:sz w:val="16"/>
              </w:rPr>
              <w:t>Statistical-first modelling</w:t>
            </w:r>
          </w:p>
        </w:tc>
        <w:tc>
          <w:tcPr>
            <w:tcW w:type="dxa" w:w="4896"/>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4896"/>
            <w:vAlign w:val="center"/>
          </w:tcPr>
          <w:p>
            <w:r/>
            <w:r>
              <w:rPr>
                <w:b w:val="0"/>
                <w:sz w:val="16"/>
              </w:rPr>
              <w:t>Current vs historical state</w:t>
            </w:r>
          </w:p>
        </w:tc>
        <w:tc>
          <w:tcPr>
            <w:tcW w:type="dxa" w:w="4896"/>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4896"/>
            <w:vAlign w:val="center"/>
          </w:tcPr>
          <w:p>
            <w:r/>
            <w:r>
              <w:rPr>
                <w:b w:val="0"/>
                <w:sz w:val="16"/>
              </w:rPr>
              <w:t>Expected-goals architecture</w:t>
            </w:r>
          </w:p>
        </w:tc>
        <w:tc>
          <w:tcPr>
            <w:tcW w:type="dxa" w:w="4896"/>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4896"/>
            <w:vAlign w:val="center"/>
          </w:tcPr>
          <w:p>
            <w:r/>
            <w:r>
              <w:rPr>
                <w:b w:val="0"/>
                <w:sz w:val="16"/>
              </w:rPr>
              <w:t>FDR vs internal fixture model</w:t>
            </w:r>
          </w:p>
        </w:tc>
        <w:tc>
          <w:tcPr>
            <w:tcW w:type="dxa" w:w="4896"/>
            <w:vAlign w:val="center"/>
          </w:tcPr>
          <w:p>
            <w:r/>
            <w:r>
              <w:rPr>
                <w:b w:val="0"/>
                <w:sz w:val="16"/>
              </w:rPr>
              <w:t>Official FDR is a benchmark/context signal; the project maintains an independent internal fixture model rather than replacing modelling with FDR.</w:t>
            </w:r>
          </w:p>
        </w:tc>
      </w:tr>
      <w:tr>
        <w:tc>
          <w:tcPr>
            <w:tcW w:type="dxa" w:w="4896"/>
            <w:vAlign w:val="center"/>
          </w:tcPr>
          <w:p>
            <w:r/>
            <w:r>
              <w:rPr>
                <w:b w:val="0"/>
                <w:sz w:val="16"/>
              </w:rPr>
              <w:t>Refresh architecture</w:t>
            </w:r>
          </w:p>
        </w:tc>
        <w:tc>
          <w:tcPr>
            <w:tcW w:type="dxa" w:w="4896"/>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4896"/>
            <w:vAlign w:val="center"/>
          </w:tcPr>
          <w:p>
            <w:r/>
            <w:r>
              <w:rPr>
                <w:b w:val="0"/>
                <w:sz w:val="16"/>
              </w:rPr>
              <w:t>Persistence architecture</w:t>
            </w:r>
          </w:p>
        </w:tc>
        <w:tc>
          <w:tcPr>
            <w:tcW w:type="dxa" w:w="4896"/>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4896"/>
            <w:vAlign w:val="center"/>
          </w:tcPr>
          <w:p>
            <w:r/>
            <w:r>
              <w:rPr>
                <w:b w:val="0"/>
                <w:sz w:val="16"/>
              </w:rPr>
              <w:t>Lineage and audit</w:t>
            </w:r>
          </w:p>
        </w:tc>
        <w:tc>
          <w:tcPr>
            <w:tcW w:type="dxa" w:w="4896"/>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4896"/>
            <w:vAlign w:val="center"/>
          </w:tcPr>
          <w:p>
            <w:r/>
            <w:r>
              <w:rPr>
                <w:b w:val="0"/>
                <w:sz w:val="16"/>
              </w:rPr>
              <w:t>Universal optimizer</w:t>
            </w:r>
          </w:p>
        </w:tc>
        <w:tc>
          <w:tcPr>
            <w:tcW w:type="dxa" w:w="4896"/>
            <w:vAlign w:val="center"/>
          </w:tcPr>
          <w:p>
            <w:r/>
            <w:r>
              <w:rPr>
                <w:b w:val="0"/>
                <w:sz w:val="16"/>
              </w:rPr>
              <w:t>One FPL team has one underlying optimization problem. Multiple leagues, standings and rivals provide context; they do not create separate team decisions.</w:t>
            </w:r>
          </w:p>
        </w:tc>
      </w:tr>
      <w:tr>
        <w:tc>
          <w:tcPr>
            <w:tcW w:type="dxa" w:w="4896"/>
            <w:vAlign w:val="center"/>
          </w:tcPr>
          <w:p>
            <w:r/>
            <w:r>
              <w:rPr>
                <w:b w:val="0"/>
                <w:sz w:val="16"/>
              </w:rPr>
              <w:t>Manager/memory separation</w:t>
            </w:r>
          </w:p>
        </w:tc>
        <w:tc>
          <w:tcPr>
            <w:tcW w:type="dxa" w:w="4896"/>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4896"/>
            <w:vAlign w:val="center"/>
          </w:tcPr>
          <w:p>
            <w:r/>
            <w:r>
              <w:rPr>
                <w:b w:val="0"/>
                <w:sz w:val="16"/>
              </w:rPr>
              <w:t>Risk/upside and chips</w:t>
            </w:r>
          </w:p>
        </w:tc>
        <w:tc>
          <w:tcPr>
            <w:tcW w:type="dxa" w:w="4896"/>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4896"/>
            <w:vAlign w:val="center"/>
          </w:tcPr>
          <w:p>
            <w:r/>
            <w:r>
              <w:rPr>
                <w:b w:val="0"/>
                <w:sz w:val="16"/>
              </w:rPr>
              <w:t>Dream Team</w:t>
            </w:r>
          </w:p>
        </w:tc>
        <w:tc>
          <w:tcPr>
            <w:tcW w:type="dxa" w:w="4896"/>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4896"/>
            <w:vAlign w:val="center"/>
          </w:tcPr>
          <w:p>
            <w:r/>
            <w:r>
              <w:rPr>
                <w:b w:val="0"/>
                <w:sz w:val="16"/>
              </w:rPr>
              <w:t>Evaluation/learning</w:t>
            </w:r>
          </w:p>
        </w:tc>
        <w:tc>
          <w:tcPr>
            <w:tcW w:type="dxa" w:w="4896"/>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4896"/>
            <w:vAlign w:val="center"/>
          </w:tcPr>
          <w:p>
            <w:r/>
            <w:r>
              <w:rPr>
                <w:b w:val="0"/>
                <w:sz w:val="16"/>
              </w:rPr>
              <w:t>Production orchestration</w:t>
            </w:r>
          </w:p>
        </w:tc>
        <w:tc>
          <w:tcPr>
            <w:tcW w:type="dxa" w:w="4896"/>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4896"/>
            <w:vAlign w:val="center"/>
          </w:tcPr>
          <w:p>
            <w:r/>
            <w:r>
              <w:rPr>
                <w:b w:val="0"/>
                <w:sz w:val="16"/>
              </w:rPr>
              <w:t>Product/deployment direction</w:t>
            </w:r>
          </w:p>
        </w:tc>
        <w:tc>
          <w:tcPr>
            <w:tcW w:type="dxa" w:w="4896"/>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p>
      <w:r>
        <w:br w:type="page"/>
      </w:r>
    </w:p>
    <w:p>
      <w:pPr>
        <w:pStyle w:val="Heading1"/>
      </w:pPr>
      <w:r>
        <w:t>Post-30-September Decision Register</w:t>
      </w:r>
    </w:p>
    <w:p>
      <w:r>
        <w:t>The pre-existing register AD-001–AD-043 remains the durable record of decisions through the 30 September 2026 database-design checkpoint. The following decisions record the material implementation-level architecture established by Batches 17–18; they do not replace earlier decisions.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
              <w:rPr>
                <w:b/>
                <w:sz w:val="16"/>
              </w:rPr>
              <w:t>ID</w:t>
            </w:r>
          </w:p>
        </w:tc>
        <w:tc>
          <w:tcPr>
            <w:tcW w:type="dxa" w:w="2448"/>
            <w:vAlign w:val="center"/>
          </w:tcPr>
          <w:p>
            <w:r/>
            <w:r>
              <w:rPr>
                <w:b/>
                <w:sz w:val="16"/>
              </w:rPr>
              <w:t>Decision</w:t>
            </w:r>
          </w:p>
        </w:tc>
        <w:tc>
          <w:tcPr>
            <w:tcW w:type="dxa" w:w="2448"/>
            <w:vAlign w:val="center"/>
          </w:tcPr>
          <w:p>
            <w:r/>
            <w:r>
              <w:rPr>
                <w:b/>
                <w:sz w:val="16"/>
              </w:rPr>
              <w:t>Decision / Rationale</w:t>
            </w:r>
          </w:p>
        </w:tc>
        <w:tc>
          <w:tcPr>
            <w:tcW w:type="dxa" w:w="2448"/>
            <w:vAlign w:val="center"/>
          </w:tcPr>
          <w:p>
            <w:r/>
            <w:r>
              <w:rPr>
                <w:b/>
                <w:sz w:val="16"/>
              </w:rPr>
              <w:t>Evidence</w:t>
            </w:r>
          </w:p>
        </w:tc>
      </w:tr>
      <w:tr>
        <w:tc>
          <w:tcPr>
            <w:tcW w:type="dxa" w:w="2448"/>
            <w:vAlign w:val="center"/>
          </w:tcPr>
          <w:p>
            <w:r/>
            <w:r>
              <w:rPr>
                <w:b w:val="0"/>
                <w:sz w:val="16"/>
              </w:rPr>
              <w:t>AD-044</w:t>
            </w:r>
          </w:p>
        </w:tc>
        <w:tc>
          <w:tcPr>
            <w:tcW w:type="dxa" w:w="2448"/>
            <w:vAlign w:val="center"/>
          </w:tcPr>
          <w:p>
            <w:r/>
            <w:r>
              <w:rPr>
                <w:b w:val="0"/>
                <w:sz w:val="16"/>
              </w:rPr>
              <w:t>Atomic canonical refresh</w:t>
            </w:r>
          </w:p>
        </w:tc>
        <w:tc>
          <w:tcPr>
            <w:tcW w:type="dxa" w:w="2448"/>
            <w:vAlign w:val="center"/>
          </w:tcPr>
          <w:p>
            <w:r/>
            <w:r>
              <w:rPr>
                <w:b w:val="0"/>
                <w:sz w:val="16"/>
              </w:rPr>
              <w:t>Global canonical FPL refresh writes must commit or roll back together through the repository transaction boundary.</w:t>
            </w:r>
          </w:p>
        </w:tc>
        <w:tc>
          <w:tcPr>
            <w:tcW w:type="dxa" w:w="2448"/>
            <w:vAlign w:val="center"/>
          </w:tcPr>
          <w:p>
            <w:r/>
            <w:r>
              <w:rPr>
                <w:b w:val="0"/>
                <w:sz w:val="16"/>
              </w:rPr>
              <w:t>Batch 17A / `502809e`</w:t>
            </w:r>
          </w:p>
        </w:tc>
      </w:tr>
      <w:tr>
        <w:tc>
          <w:tcPr>
            <w:tcW w:type="dxa" w:w="2448"/>
            <w:vAlign w:val="center"/>
          </w:tcPr>
          <w:p>
            <w:r/>
            <w:r>
              <w:rPr>
                <w:b w:val="0"/>
                <w:sz w:val="16"/>
              </w:rPr>
              <w:t>AD-045</w:t>
            </w:r>
          </w:p>
        </w:tc>
        <w:tc>
          <w:tcPr>
            <w:tcW w:type="dxa" w:w="2448"/>
            <w:vAlign w:val="center"/>
          </w:tcPr>
          <w:p>
            <w:r/>
            <w:r>
              <w:rPr>
                <w:b w:val="0"/>
                <w:sz w:val="16"/>
              </w:rPr>
              <w:t>Durable ingestion audit boundary</w:t>
            </w:r>
          </w:p>
        </w:tc>
        <w:tc>
          <w:tcPr>
            <w:tcW w:type="dxa" w:w="2448"/>
            <w:vAlign w:val="center"/>
          </w:tcPr>
          <w:p>
            <w:r/>
            <w:r>
              <w:rPr>
                <w:b w:val="0"/>
                <w:sz w:val="16"/>
              </w:rPr>
              <w:t>Create the ingestion execution record outside the canonical transaction so a failed persistence attempt remains auditable after rollback.</w:t>
            </w:r>
          </w:p>
        </w:tc>
        <w:tc>
          <w:tcPr>
            <w:tcW w:type="dxa" w:w="2448"/>
            <w:vAlign w:val="center"/>
          </w:tcPr>
          <w:p>
            <w:r/>
            <w:r>
              <w:rPr>
                <w:b w:val="0"/>
                <w:sz w:val="16"/>
              </w:rPr>
              <w:t>Batch 17A / `502809e`</w:t>
            </w:r>
          </w:p>
        </w:tc>
      </w:tr>
      <w:tr>
        <w:tc>
          <w:tcPr>
            <w:tcW w:type="dxa" w:w="2448"/>
            <w:vAlign w:val="center"/>
          </w:tcPr>
          <w:p>
            <w:r/>
            <w:r>
              <w:rPr>
                <w:b w:val="0"/>
                <w:sz w:val="16"/>
              </w:rPr>
              <w:t>AD-046</w:t>
            </w:r>
          </w:p>
        </w:tc>
        <w:tc>
          <w:tcPr>
            <w:tcW w:type="dxa" w:w="2448"/>
            <w:vAlign w:val="center"/>
          </w:tcPr>
          <w:p>
            <w:r/>
            <w:r>
              <w:rPr>
                <w:b w:val="0"/>
                <w:sz w:val="16"/>
              </w:rPr>
              <w:t>Failed refresh preserves prior canonical success</w:t>
            </w:r>
          </w:p>
        </w:tc>
        <w:tc>
          <w:tcPr>
            <w:tcW w:type="dxa" w:w="2448"/>
            <w:vAlign w:val="center"/>
          </w:tcPr>
          <w:p>
            <w:r/>
            <w:r>
              <w:rPr>
                <w:b w:val="0"/>
                <w:sz w:val="16"/>
              </w:rPr>
              <w:t>A refresh failure after a previous successful refresh must not corrupt prior canonical data; the failed run is recorded and freshness becomes STALE.</w:t>
            </w:r>
          </w:p>
        </w:tc>
        <w:tc>
          <w:tcPr>
            <w:tcW w:type="dxa" w:w="2448"/>
            <w:vAlign w:val="center"/>
          </w:tcPr>
          <w:p>
            <w:r/>
            <w:r>
              <w:rPr>
                <w:b w:val="0"/>
                <w:sz w:val="16"/>
              </w:rPr>
              <w:t>Batch 17B / `b4c20b1`</w:t>
            </w:r>
          </w:p>
        </w:tc>
      </w:tr>
      <w:tr>
        <w:tc>
          <w:tcPr>
            <w:tcW w:type="dxa" w:w="2448"/>
            <w:vAlign w:val="center"/>
          </w:tcPr>
          <w:p>
            <w:r/>
            <w:r>
              <w:rPr>
                <w:b w:val="0"/>
                <w:sz w:val="16"/>
              </w:rPr>
              <w:t>AD-047</w:t>
            </w:r>
          </w:p>
        </w:tc>
        <w:tc>
          <w:tcPr>
            <w:tcW w:type="dxa" w:w="2448"/>
            <w:vAlign w:val="center"/>
          </w:tcPr>
          <w:p>
            <w:r/>
            <w:r>
              <w:rPr>
                <w:b w:val="0"/>
                <w:sz w:val="16"/>
              </w:rPr>
              <w:t>Refresh idempotency</w:t>
            </w:r>
          </w:p>
        </w:tc>
        <w:tc>
          <w:tcPr>
            <w:tcW w:type="dxa" w:w="2448"/>
            <w:vAlign w:val="center"/>
          </w:tcPr>
          <w:p>
            <w:r/>
            <w:r>
              <w:rPr>
                <w:b w:val="0"/>
                <w:sz w:val="16"/>
              </w:rPr>
              <w:t>Repeated identical refreshes must not create duplicate current/master logical records; snapshots remain append-style.</w:t>
            </w:r>
          </w:p>
        </w:tc>
        <w:tc>
          <w:tcPr>
            <w:tcW w:type="dxa" w:w="2448"/>
            <w:vAlign w:val="center"/>
          </w:tcPr>
          <w:p>
            <w:r/>
            <w:r>
              <w:rPr>
                <w:b w:val="0"/>
                <w:sz w:val="16"/>
              </w:rPr>
              <w:t>Batch 17C / `fbacb99`</w:t>
            </w:r>
          </w:p>
        </w:tc>
      </w:tr>
      <w:tr>
        <w:tc>
          <w:tcPr>
            <w:tcW w:type="dxa" w:w="2448"/>
            <w:vAlign w:val="center"/>
          </w:tcPr>
          <w:p>
            <w:r/>
            <w:r>
              <w:rPr>
                <w:b w:val="0"/>
                <w:sz w:val="16"/>
              </w:rPr>
              <w:t>AD-048</w:t>
            </w:r>
          </w:p>
        </w:tc>
        <w:tc>
          <w:tcPr>
            <w:tcW w:type="dxa" w:w="2448"/>
            <w:vAlign w:val="center"/>
          </w:tcPr>
          <w:p>
            <w:r/>
            <w:r>
              <w:rPr>
                <w:b w:val="0"/>
                <w:sz w:val="16"/>
              </w:rPr>
              <w:t>Changed source records update in place</w:t>
            </w:r>
          </w:p>
        </w:tc>
        <w:tc>
          <w:tcPr>
            <w:tcW w:type="dxa" w:w="2448"/>
            <w:vAlign w:val="center"/>
          </w:tcPr>
          <w:p>
            <w:r/>
            <w:r>
              <w:rPr>
                <w:b w:val="0"/>
                <w:sz w:val="16"/>
              </w:rPr>
              <w:t>A changed player/fixture source record updates its current/master representation without duplicating the logical current record.</w:t>
            </w:r>
          </w:p>
        </w:tc>
        <w:tc>
          <w:tcPr>
            <w:tcW w:type="dxa" w:w="2448"/>
            <w:vAlign w:val="center"/>
          </w:tcPr>
          <w:p>
            <w:r/>
            <w:r>
              <w:rPr>
                <w:b w:val="0"/>
                <w:sz w:val="16"/>
              </w:rPr>
              <w:t>Batch 17C / `fbacb99`</w:t>
            </w:r>
          </w:p>
        </w:tc>
      </w:tr>
      <w:tr>
        <w:tc>
          <w:tcPr>
            <w:tcW w:type="dxa" w:w="2448"/>
            <w:vAlign w:val="center"/>
          </w:tcPr>
          <w:p>
            <w:r/>
            <w:r>
              <w:rPr>
                <w:b w:val="0"/>
                <w:sz w:val="16"/>
              </w:rPr>
              <w:t>AD-049</w:t>
            </w:r>
          </w:p>
        </w:tc>
        <w:tc>
          <w:tcPr>
            <w:tcW w:type="dxa" w:w="2448"/>
            <w:vAlign w:val="center"/>
          </w:tcPr>
          <w:p>
            <w:r/>
            <w:r>
              <w:rPr>
                <w:b w:val="0"/>
                <w:sz w:val="16"/>
              </w:rPr>
              <w:t>Latest-ingestion freshness association</w:t>
            </w:r>
          </w:p>
        </w:tc>
        <w:tc>
          <w:tcPr>
            <w:tcW w:type="dxa" w:w="2448"/>
            <w:vAlign w:val="center"/>
          </w:tcPr>
          <w:p>
            <w:r/>
            <w:r>
              <w:rPr>
                <w:b w:val="0"/>
                <w:sz w:val="16"/>
              </w:rPr>
              <w:t>Dataset freshness points to the latest ingestion attempt relevant to the dataset, preserving operational auditability.</w:t>
            </w:r>
          </w:p>
        </w:tc>
        <w:tc>
          <w:tcPr>
            <w:tcW w:type="dxa" w:w="2448"/>
            <w:vAlign w:val="center"/>
          </w:tcPr>
          <w:p>
            <w:r/>
            <w:r>
              <w:rPr>
                <w:b w:val="0"/>
                <w:sz w:val="16"/>
              </w:rPr>
              <w:t>Batch 17C / `fbacb99`</w:t>
            </w:r>
          </w:p>
        </w:tc>
      </w:tr>
      <w:tr>
        <w:tc>
          <w:tcPr>
            <w:tcW w:type="dxa" w:w="2448"/>
            <w:vAlign w:val="center"/>
          </w:tcPr>
          <w:p>
            <w:r/>
            <w:r>
              <w:rPr>
                <w:b w:val="0"/>
                <w:sz w:val="16"/>
              </w:rPr>
              <w:t>AD-050</w:t>
            </w:r>
          </w:p>
        </w:tc>
        <w:tc>
          <w:tcPr>
            <w:tcW w:type="dxa" w:w="2448"/>
            <w:vAlign w:val="center"/>
          </w:tcPr>
          <w:p>
            <w:r/>
            <w:r>
              <w:rPr>
                <w:b w:val="0"/>
                <w:sz w:val="16"/>
              </w:rPr>
              <w:t>Production projection runtime boundary</w:t>
            </w:r>
          </w:p>
        </w:tc>
        <w:tc>
          <w:tcPr>
            <w:tcW w:type="dxa" w:w="2448"/>
            <w:vAlign w:val="center"/>
          </w:tcPr>
          <w:p>
            <w:r/>
            <w:r>
              <w:rPr>
                <w:b w:val="0"/>
                <w:sz w:val="16"/>
              </w:rPr>
              <w:t>ProductionProjectionResult is a runtime projection contract, not a new canonical relational entity.</w:t>
            </w:r>
          </w:p>
        </w:tc>
        <w:tc>
          <w:tcPr>
            <w:tcW w:type="dxa" w:w="2448"/>
            <w:vAlign w:val="center"/>
          </w:tcPr>
          <w:p>
            <w:r/>
            <w:r>
              <w:rPr>
                <w:b w:val="0"/>
                <w:sz w:val="16"/>
              </w:rPr>
              <w:t>Batch 18A / `0905d96`</w:t>
            </w:r>
          </w:p>
        </w:tc>
      </w:tr>
      <w:tr>
        <w:tc>
          <w:tcPr>
            <w:tcW w:type="dxa" w:w="2448"/>
            <w:vAlign w:val="center"/>
          </w:tcPr>
          <w:p>
            <w:r/>
            <w:r>
              <w:rPr>
                <w:b w:val="0"/>
                <w:sz w:val="16"/>
              </w:rPr>
              <w:t>AD-051</w:t>
            </w:r>
          </w:p>
        </w:tc>
        <w:tc>
          <w:tcPr>
            <w:tcW w:type="dxa" w:w="2448"/>
            <w:vAlign w:val="center"/>
          </w:tcPr>
          <w:p>
            <w:r/>
            <w:r>
              <w:rPr>
                <w:b w:val="0"/>
                <w:sz w:val="16"/>
              </w:rPr>
              <w:t>Point-in-time projection horizon</w:t>
            </w:r>
          </w:p>
        </w:tc>
        <w:tc>
          <w:tcPr>
            <w:tcW w:type="dxa" w:w="2448"/>
            <w:vAlign w:val="center"/>
          </w:tcPr>
          <w:p>
            <w:r/>
            <w:r>
              <w:rPr>
                <w:b w:val="0"/>
                <w:sz w:val="16"/>
              </w:rPr>
              <w:t>Production projections use completed fixtures strictly before the target cutoff for state and requested future/uncompleted fixtures for the horizon.</w:t>
            </w:r>
          </w:p>
        </w:tc>
        <w:tc>
          <w:tcPr>
            <w:tcW w:type="dxa" w:w="2448"/>
            <w:vAlign w:val="center"/>
          </w:tcPr>
          <w:p>
            <w:r/>
            <w:r>
              <w:rPr>
                <w:b w:val="0"/>
                <w:sz w:val="16"/>
              </w:rPr>
              <w:t>Batch 18A / `0905d96`</w:t>
            </w:r>
          </w:p>
        </w:tc>
      </w:tr>
      <w:tr>
        <w:tc>
          <w:tcPr>
            <w:tcW w:type="dxa" w:w="2448"/>
            <w:vAlign w:val="center"/>
          </w:tcPr>
          <w:p>
            <w:r/>
            <w:r>
              <w:rPr>
                <w:b w:val="0"/>
                <w:sz w:val="16"/>
              </w:rPr>
              <w:t>AD-052</w:t>
            </w:r>
          </w:p>
        </w:tc>
        <w:tc>
          <w:tcPr>
            <w:tcW w:type="dxa" w:w="2448"/>
            <w:vAlign w:val="center"/>
          </w:tcPr>
          <w:p>
            <w:r/>
            <w:r>
              <w:rPr>
                <w:b w:val="0"/>
                <w:sz w:val="16"/>
              </w:rPr>
              <w:t>Authoritative projection contract name</w:t>
            </w:r>
          </w:p>
        </w:tc>
        <w:tc>
          <w:tcPr>
            <w:tcW w:type="dxa" w:w="2448"/>
            <w:vAlign w:val="center"/>
          </w:tcPr>
          <w:p>
            <w:r/>
            <w:r>
              <w:rPr>
                <w:b w:val="0"/>
                <w:sz w:val="16"/>
              </w:rPr>
              <w:t>The strategy-facing projection contract exposes `horizon_expected_points`; adapter logic must normalize lower-level aggregation names to this contract.</w:t>
            </w:r>
          </w:p>
        </w:tc>
        <w:tc>
          <w:tcPr>
            <w:tcW w:type="dxa" w:w="2448"/>
            <w:vAlign w:val="center"/>
          </w:tcPr>
          <w:p>
            <w:r/>
            <w:r>
              <w:rPr>
                <w:b w:val="0"/>
                <w:sz w:val="16"/>
              </w:rPr>
              <w:t>Batch 18A / `0905d96`</w:t>
            </w:r>
          </w:p>
        </w:tc>
      </w:tr>
      <w:tr>
        <w:tc>
          <w:tcPr>
            <w:tcW w:type="dxa" w:w="2448"/>
            <w:vAlign w:val="center"/>
          </w:tcPr>
          <w:p>
            <w:r/>
            <w:r>
              <w:rPr>
                <w:b w:val="0"/>
                <w:sz w:val="16"/>
              </w:rPr>
              <w:t>AD-053</w:t>
            </w:r>
          </w:p>
        </w:tc>
        <w:tc>
          <w:tcPr>
            <w:tcW w:type="dxa" w:w="2448"/>
            <w:vAlign w:val="center"/>
          </w:tcPr>
          <w:p>
            <w:r/>
            <w:r>
              <w:rPr>
                <w:b w:val="0"/>
                <w:sz w:val="16"/>
              </w:rPr>
              <w:t>Typed production orchestration boundary</w:t>
            </w:r>
          </w:p>
        </w:tc>
        <w:tc>
          <w:tcPr>
            <w:tcW w:type="dxa" w:w="2448"/>
            <w:vAlign w:val="center"/>
          </w:tcPr>
          <w:p>
            <w:r/>
            <w:r>
              <w:rPr>
                <w:b w:val="0"/>
                <w:sz w:val="16"/>
              </w:rPr>
              <w:t>The strategy orchestrator accepts a typed ProductionProjectionResult and passes its projections as the authoritative strategy input.</w:t>
            </w:r>
          </w:p>
        </w:tc>
        <w:tc>
          <w:tcPr>
            <w:tcW w:type="dxa" w:w="2448"/>
            <w:vAlign w:val="center"/>
          </w:tcPr>
          <w:p>
            <w:r/>
            <w:r>
              <w:rPr>
                <w:b w:val="0"/>
                <w:sz w:val="16"/>
              </w:rPr>
              <w:t>Batch 18B / `ce1c62c`</w:t>
            </w:r>
          </w:p>
        </w:tc>
      </w:tr>
      <w:tr>
        <w:tc>
          <w:tcPr>
            <w:tcW w:type="dxa" w:w="2448"/>
            <w:vAlign w:val="center"/>
          </w:tcPr>
          <w:p>
            <w:r/>
            <w:r>
              <w:rPr>
                <w:b w:val="0"/>
                <w:sz w:val="16"/>
              </w:rPr>
              <w:t>AD-054</w:t>
            </w:r>
          </w:p>
        </w:tc>
        <w:tc>
          <w:tcPr>
            <w:tcW w:type="dxa" w:w="2448"/>
            <w:vAlign w:val="center"/>
          </w:tcPr>
          <w:p>
            <w:r/>
            <w:r>
              <w:rPr>
                <w:b w:val="0"/>
                <w:sz w:val="16"/>
              </w:rPr>
              <w:t>Projection trust propagation</w:t>
            </w:r>
          </w:p>
        </w:tc>
        <w:tc>
          <w:tcPr>
            <w:tcW w:type="dxa" w:w="2448"/>
            <w:vAlign w:val="center"/>
          </w:tcPr>
          <w:p>
            <w:r/>
            <w:r>
              <w:rPr>
                <w:b w:val="0"/>
                <w:sz w:val="16"/>
              </w:rPr>
              <w:t>Projection completeness and warnings must propagate into the final strategic decision; model version is recorded for auditability.</w:t>
            </w:r>
          </w:p>
        </w:tc>
        <w:tc>
          <w:tcPr>
            <w:tcW w:type="dxa" w:w="2448"/>
            <w:vAlign w:val="center"/>
          </w:tcPr>
          <w:p>
            <w:r/>
            <w:r>
              <w:rPr>
                <w:b w:val="0"/>
                <w:sz w:val="16"/>
              </w:rPr>
              <w:t>Batch 18B / `ce1c62c`</w:t>
            </w:r>
          </w:p>
        </w:tc>
      </w:tr>
      <w:tr>
        <w:tc>
          <w:tcPr>
            <w:tcW w:type="dxa" w:w="2448"/>
            <w:vAlign w:val="center"/>
          </w:tcPr>
          <w:p>
            <w:r/>
            <w:r>
              <w:rPr>
                <w:b w:val="0"/>
                <w:sz w:val="16"/>
              </w:rPr>
              <w:t>AD-055</w:t>
            </w:r>
          </w:p>
        </w:tc>
        <w:tc>
          <w:tcPr>
            <w:tcW w:type="dxa" w:w="2448"/>
            <w:vAlign w:val="center"/>
          </w:tcPr>
          <w:p>
            <w:r/>
            <w:r>
              <w:rPr>
                <w:b w:val="0"/>
                <w:sz w:val="16"/>
              </w:rPr>
              <w:t>Backward-compatible orchestration versioning</w:t>
            </w:r>
          </w:p>
        </w:tc>
        <w:tc>
          <w:tcPr>
            <w:tcW w:type="dxa" w:w="2448"/>
            <w:vAlign w:val="center"/>
          </w:tcPr>
          <w:p>
            <w:r/>
            <w:r>
              <w:rPr>
                <w:b w:val="0"/>
                <w:sz w:val="16"/>
              </w:rPr>
              <w:t>Legacy direct orchestration remains at v1.2 while the production projection adapter is versioned v1.3 until migration/removal is proven.</w:t>
            </w:r>
          </w:p>
        </w:tc>
        <w:tc>
          <w:tcPr>
            <w:tcW w:type="dxa" w:w="2448"/>
            <w:vAlign w:val="center"/>
          </w:tcPr>
          <w:p>
            <w:r/>
            <w:r>
              <w:rPr>
                <w:b w:val="0"/>
                <w:sz w:val="16"/>
              </w:rPr>
              <w:t>Batch 18B / `ce1c62c`</w:t>
            </w:r>
          </w:p>
        </w:tc>
      </w:tr>
    </w:tbl>
    <w:p/>
    <w:p>
      <w:pPr>
        <w:pStyle w:val="Heading2"/>
      </w:pPr>
      <w:r>
        <w:t>Batch-to-Decision Coverage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
              <w:rPr>
                <w:b/>
                <w:sz w:val="16"/>
              </w:rPr>
              <w:t>Batches</w:t>
            </w:r>
          </w:p>
        </w:tc>
        <w:tc>
          <w:tcPr>
            <w:tcW w:type="dxa" w:w="3264"/>
            <w:vAlign w:val="center"/>
          </w:tcPr>
          <w:p>
            <w:r/>
            <w:r>
              <w:rPr>
                <w:b/>
                <w:sz w:val="16"/>
              </w:rPr>
              <w:t>Decision coverage</w:t>
            </w:r>
          </w:p>
        </w:tc>
        <w:tc>
          <w:tcPr>
            <w:tcW w:type="dxa" w:w="3264"/>
            <w:vAlign w:val="center"/>
          </w:tcPr>
          <w:p>
            <w:r/>
            <w:r>
              <w:rPr>
                <w:b/>
                <w:sz w:val="16"/>
              </w:rPr>
              <w:t>What is captured</w:t>
            </w:r>
          </w:p>
        </w:tc>
      </w:tr>
      <w:tr>
        <w:tc>
          <w:tcPr>
            <w:tcW w:type="dxa" w:w="3264"/>
            <w:vAlign w:val="center"/>
          </w:tcPr>
          <w:p>
            <w:r/>
            <w:r>
              <w:rPr>
                <w:b w:val="0"/>
                <w:sz w:val="16"/>
              </w:rPr>
              <w:t>1–4</w:t>
            </w:r>
          </w:p>
        </w:tc>
        <w:tc>
          <w:tcPr>
            <w:tcW w:type="dxa" w:w="3264"/>
            <w:vAlign w:val="center"/>
          </w:tcPr>
          <w:p>
            <w:r/>
            <w:r>
              <w:rPr>
                <w:b w:val="0"/>
                <w:sz w:val="16"/>
              </w:rPr>
              <w:t>AD-034–043 and earlier data-source/truth decisions</w:t>
            </w:r>
          </w:p>
        </w:tc>
        <w:tc>
          <w:tcPr>
            <w:tcW w:type="dxa" w:w="3264"/>
            <w:vAlign w:val="center"/>
          </w:tcPr>
          <w:p>
            <w:r/>
            <w:r>
              <w:rPr>
                <w:b w:val="0"/>
                <w:sz w:val="16"/>
              </w:rPr>
              <w:t>SQLite foundation, repository abstraction, refresh path, source separation</w:t>
            </w:r>
          </w:p>
        </w:tc>
      </w:tr>
      <w:tr>
        <w:tc>
          <w:tcPr>
            <w:tcW w:type="dxa" w:w="3264"/>
            <w:vAlign w:val="center"/>
          </w:tcPr>
          <w:p>
            <w:r/>
            <w:r>
              <w:rPr>
                <w:b w:val="0"/>
                <w:sz w:val="16"/>
              </w:rPr>
              <w:t>5–7</w:t>
            </w:r>
          </w:p>
        </w:tc>
        <w:tc>
          <w:tcPr>
            <w:tcW w:type="dxa" w:w="3264"/>
            <w:vAlign w:val="center"/>
          </w:tcPr>
          <w:p>
            <w:r/>
            <w:r>
              <w:rPr>
                <w:b w:val="0"/>
                <w:sz w:val="16"/>
              </w:rPr>
              <w:t>AD-017–026, AD-034–041</w:t>
            </w:r>
          </w:p>
        </w:tc>
        <w:tc>
          <w:tcPr>
            <w:tcW w:type="dxa" w:w="3264"/>
            <w:vAlign w:val="center"/>
          </w:tcPr>
          <w:p>
            <w:r/>
            <w:r>
              <w:rPr>
                <w:b w:val="0"/>
                <w:sz w:val="16"/>
              </w:rPr>
              <w:t>Manager state, multi-league/rivals, freshness and refresh semantics</w:t>
            </w:r>
          </w:p>
        </w:tc>
      </w:tr>
      <w:tr>
        <w:tc>
          <w:tcPr>
            <w:tcW w:type="dxa" w:w="3264"/>
            <w:vAlign w:val="center"/>
          </w:tcPr>
          <w:p>
            <w:r/>
            <w:r>
              <w:rPr>
                <w:b w:val="0"/>
                <w:sz w:val="16"/>
              </w:rPr>
              <w:t>8–9</w:t>
            </w:r>
          </w:p>
        </w:tc>
        <w:tc>
          <w:tcPr>
            <w:tcW w:type="dxa" w:w="3264"/>
            <w:vAlign w:val="center"/>
          </w:tcPr>
          <w:p>
            <w:r/>
            <w:r>
              <w:rPr>
                <w:b w:val="0"/>
                <w:sz w:val="16"/>
              </w:rPr>
              <w:t>AD-003–011, AD-031–033</w:t>
            </w:r>
          </w:p>
        </w:tc>
        <w:tc>
          <w:tcPr>
            <w:tcW w:type="dxa" w:w="3264"/>
            <w:vAlign w:val="center"/>
          </w:tcPr>
          <w:p>
            <w:r/>
            <w:r>
              <w:rPr>
                <w:b w:val="0"/>
                <w:sz w:val="16"/>
              </w:rPr>
              <w:t>Fixture xP, Expected Minutes, statistical-first and point-in-time modelling</w:t>
            </w:r>
          </w:p>
        </w:tc>
      </w:tr>
      <w:tr>
        <w:tc>
          <w:tcPr>
            <w:tcW w:type="dxa" w:w="3264"/>
            <w:vAlign w:val="center"/>
          </w:tcPr>
          <w:p>
            <w:r/>
            <w:r>
              <w:rPr>
                <w:b w:val="0"/>
                <w:sz w:val="16"/>
              </w:rPr>
              <w:t>10–12</w:t>
            </w:r>
          </w:p>
        </w:tc>
        <w:tc>
          <w:tcPr>
            <w:tcW w:type="dxa" w:w="3264"/>
            <w:vAlign w:val="center"/>
          </w:tcPr>
          <w:p>
            <w:r/>
            <w:r>
              <w:rPr>
                <w:b w:val="0"/>
                <w:sz w:val="16"/>
              </w:rPr>
              <w:t>AD-012, AD-017, AD-023, AD-030–031</w:t>
            </w:r>
          </w:p>
        </w:tc>
        <w:tc>
          <w:tcPr>
            <w:tcW w:type="dxa" w:w="3264"/>
            <w:vAlign w:val="center"/>
          </w:tcPr>
          <w:p>
            <w:r/>
            <w:r>
              <w:rPr>
                <w:b w:val="0"/>
                <w:sz w:val="16"/>
              </w:rPr>
              <w:t>Legal optimizer, multi-GW transfer and captain decision layers</w:t>
            </w:r>
          </w:p>
        </w:tc>
      </w:tr>
      <w:tr>
        <w:tc>
          <w:tcPr>
            <w:tcW w:type="dxa" w:w="3264"/>
            <w:vAlign w:val="center"/>
          </w:tcPr>
          <w:p>
            <w:r/>
            <w:r>
              <w:rPr>
                <w:b w:val="0"/>
                <w:sz w:val="16"/>
              </w:rPr>
              <w:t>13–16</w:t>
            </w:r>
          </w:p>
        </w:tc>
        <w:tc>
          <w:tcPr>
            <w:tcW w:type="dxa" w:w="3264"/>
            <w:vAlign w:val="center"/>
          </w:tcPr>
          <w:p>
            <w:r/>
            <w:r>
              <w:rPr>
                <w:b w:val="0"/>
                <w:sz w:val="16"/>
              </w:rPr>
              <w:t>AD-003–005, AD-011, AD-023–024, AD-030</w:t>
            </w:r>
          </w:p>
        </w:tc>
        <w:tc>
          <w:tcPr>
            <w:tcW w:type="dxa" w:w="3264"/>
            <w:vAlign w:val="center"/>
          </w:tcPr>
          <w:p>
            <w:r/>
            <w:r>
              <w:rPr>
                <w:b w:val="0"/>
                <w:sz w:val="16"/>
              </w:rPr>
              <w:t>Evaluation, horizons, chips, Dream Team and multi-GW orchestration</w:t>
            </w:r>
          </w:p>
        </w:tc>
      </w:tr>
      <w:tr>
        <w:tc>
          <w:tcPr>
            <w:tcW w:type="dxa" w:w="3264"/>
            <w:vAlign w:val="center"/>
          </w:tcPr>
          <w:p>
            <w:r/>
            <w:r>
              <w:rPr>
                <w:b w:val="0"/>
                <w:sz w:val="16"/>
              </w:rPr>
              <w:t>17</w:t>
            </w:r>
          </w:p>
        </w:tc>
        <w:tc>
          <w:tcPr>
            <w:tcW w:type="dxa" w:w="3264"/>
            <w:vAlign w:val="center"/>
          </w:tcPr>
          <w:p>
            <w:r/>
            <w:r>
              <w:rPr>
                <w:b w:val="0"/>
                <w:sz w:val="16"/>
              </w:rPr>
              <w:t>AD-034, AD-038–043 + AD-044–049</w:t>
            </w:r>
          </w:p>
        </w:tc>
        <w:tc>
          <w:tcPr>
            <w:tcW w:type="dxa" w:w="3264"/>
            <w:vAlign w:val="center"/>
          </w:tcPr>
          <w:p>
            <w:r/>
            <w:r>
              <w:rPr>
                <w:b w:val="0"/>
                <w:sz w:val="16"/>
              </w:rPr>
              <w:t>Transactional refresh reliability, audit and idempotency</w:t>
            </w:r>
          </w:p>
        </w:tc>
      </w:tr>
      <w:tr>
        <w:tc>
          <w:tcPr>
            <w:tcW w:type="dxa" w:w="3264"/>
            <w:vAlign w:val="center"/>
          </w:tcPr>
          <w:p>
            <w:r/>
            <w:r>
              <w:rPr>
                <w:b w:val="0"/>
                <w:sz w:val="16"/>
              </w:rPr>
              <w:t>18</w:t>
            </w:r>
          </w:p>
        </w:tc>
        <w:tc>
          <w:tcPr>
            <w:tcW w:type="dxa" w:w="3264"/>
            <w:vAlign w:val="center"/>
          </w:tcPr>
          <w:p>
            <w:r/>
            <w:r>
              <w:rPr>
                <w:b w:val="0"/>
                <w:sz w:val="16"/>
              </w:rPr>
              <w:t>AD-003–005, AD-011 + AD-050–055</w:t>
            </w:r>
          </w:p>
        </w:tc>
        <w:tc>
          <w:tcPr>
            <w:tcW w:type="dxa" w:w="3264"/>
            <w:vAlign w:val="center"/>
          </w:tcPr>
          <w:p>
            <w:r/>
            <w:r>
              <w:rPr>
                <w:b w:val="0"/>
                <w:sz w:val="16"/>
              </w:rPr>
              <w:t>Production projection boundary, leakage safety, strategy adapter and trust propagation</w:t>
            </w:r>
          </w:p>
        </w:tc>
      </w:tr>
    </w:tbl>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p>
      <w:pPr>
        <w:pStyle w:val="Heading1"/>
      </w:pPr>
      <w:bookmarkStart w:id="1001" w:name="IndexTarget1001"/>
      <w:r>
        <w:t>1. Decision Register</w:t>
      </w:r>
      <w:bookmarkEnd w:id="1001"/>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Decision</w:t>
            </w:r>
          </w:p>
        </w:tc>
        <w:tc>
          <w:tcPr>
            <w:tcW w:type="dxa" w:w="3360"/>
          </w:tcPr>
          <w:p>
            <w:r>
              <w:t>Decision / Rationale</w:t>
            </w:r>
          </w:p>
        </w:tc>
      </w:tr>
      <w:tr>
        <w:tc>
          <w:tcPr>
            <w:tcW w:type="dxa" w:w="3360"/>
          </w:tcPr>
          <w:p>
            <w:r>
              <w:t>AD-001</w:t>
            </w:r>
          </w:p>
        </w:tc>
        <w:tc>
          <w:tcPr>
            <w:tcW w:type="dxa" w:w="3360"/>
          </w:tcPr>
          <w:p>
            <w:r>
              <w:t>Historical source quality</w:t>
            </w:r>
          </w:p>
        </w:tc>
        <w:tc>
          <w:tcPr>
            <w:tcW w:type="dxa" w:w="3360"/>
          </w:tcPr>
          <w:p>
            <w:r>
              <w:t>Prefer official or closest-to-official historical sources; retain provenance and validation metadata.</w:t>
            </w:r>
          </w:p>
        </w:tc>
      </w:tr>
      <w:tr>
        <w:tc>
          <w:tcPr>
            <w:tcW w:type="dxa" w:w="3360"/>
          </w:tcPr>
          <w:p>
            <w:r>
              <w:t>AD-002</w:t>
            </w:r>
          </w:p>
        </w:tc>
        <w:tc>
          <w:tcPr>
            <w:tcW w:type="dxa" w:w="3360"/>
          </w:tcPr>
          <w:p>
            <w:r>
              <w:t>One-time historical seed + project-owned history</w:t>
            </w:r>
          </w:p>
        </w:tc>
        <w:tc>
          <w:tcPr>
            <w:tcW w:type="dxa" w:w="3360"/>
          </w:tcPr>
          <w:p>
            <w:r>
              <w:t>Seed historical data when necessary, then retain and progressively build the project's own verified history.</w:t>
            </w:r>
          </w:p>
        </w:tc>
      </w:tr>
      <w:tr>
        <w:tc>
          <w:tcPr>
            <w:tcW w:type="dxa" w:w="3360"/>
          </w:tcPr>
          <w:p>
            <w:r>
              <w:t>AD-003</w:t>
            </w:r>
          </w:p>
        </w:tc>
        <w:tc>
          <w:tcPr>
            <w:tcW w:type="dxa" w:w="3360"/>
          </w:tcPr>
          <w:p>
            <w:r>
              <w:t>Statistical first</w:t>
            </w:r>
          </w:p>
        </w:tc>
        <w:tc>
          <w:tcPr>
            <w:tcW w:type="dxa" w:w="3360"/>
          </w:tcPr>
          <w:p>
            <w:r>
              <w:t>Build and validate a transparent statistical forecasting baseline before ML.</w:t>
            </w:r>
          </w:p>
        </w:tc>
      </w:tr>
      <w:tr>
        <w:tc>
          <w:tcPr>
            <w:tcW w:type="dxa" w:w="3360"/>
          </w:tcPr>
          <w:p>
            <w:r>
              <w:t>AD-004</w:t>
            </w:r>
          </w:p>
        </w:tc>
        <w:tc>
          <w:tcPr>
            <w:tcW w:type="dxa" w:w="3360"/>
          </w:tcPr>
          <w:p>
            <w:r>
              <w:t>Walk-forward validation</w:t>
            </w:r>
          </w:p>
        </w:tc>
        <w:tc>
          <w:tcPr>
            <w:tcW w:type="dxa" w:w="3360"/>
          </w:tcPr>
          <w:p>
            <w:r>
              <w:t>All model comparisons must respect time order and exclude future information.</w:t>
            </w:r>
          </w:p>
        </w:tc>
      </w:tr>
      <w:tr>
        <w:tc>
          <w:tcPr>
            <w:tcW w:type="dxa" w:w="3360"/>
          </w:tcPr>
          <w:p>
            <w:r>
              <w:t>AD-005</w:t>
            </w:r>
          </w:p>
        </w:tc>
        <w:tc>
          <w:tcPr>
            <w:tcW w:type="dxa" w:w="3360"/>
          </w:tcPr>
          <w:p>
            <w:r>
              <w:t>Historical prior + current evidence</w:t>
            </w:r>
          </w:p>
        </w:tc>
        <w:tc>
          <w:tcPr>
            <w:tcW w:type="dxa" w:w="3360"/>
          </w:tcPr>
          <w:p>
            <w:r>
              <w:t>Use historical information as a prior updated by current-season evidence, with recency/decay and sample-size treatment.</w:t>
            </w:r>
          </w:p>
        </w:tc>
      </w:tr>
      <w:tr>
        <w:tc>
          <w:tcPr>
            <w:tcW w:type="dxa" w:w="3360"/>
          </w:tcPr>
          <w:p>
            <w:r>
              <w:t>AD-006</w:t>
            </w:r>
          </w:p>
        </w:tc>
        <w:tc>
          <w:tcPr>
            <w:tcW w:type="dxa" w:w="3360"/>
          </w:tcPr>
          <w:p>
            <w:r>
              <w:t>Opponent adjustment</w:t>
            </w:r>
          </w:p>
        </w:tc>
        <w:tc>
          <w:tcPr>
            <w:tcW w:type="dxa" w:w="3360"/>
          </w:tcPr>
          <w:p>
            <w:r>
              <w:t>Team strength must account for the strength of opponents faced.</w:t>
            </w:r>
          </w:p>
        </w:tc>
      </w:tr>
      <w:tr>
        <w:tc>
          <w:tcPr>
            <w:tcW w:type="dxa" w:w="3360"/>
          </w:tcPr>
          <w:p>
            <w:r>
              <w:t>AD-007</w:t>
            </w:r>
          </w:p>
        </w:tc>
        <w:tc>
          <w:tcPr>
            <w:tcW w:type="dxa" w:w="3360"/>
          </w:tcPr>
          <w:p>
            <w:r>
              <w:t>ML later</w:t>
            </w:r>
          </w:p>
        </w:tc>
        <w:tc>
          <w:tcPr>
            <w:tcW w:type="dxa" w:w="3360"/>
          </w:tcPr>
          <w:p>
            <w:r>
              <w:t>Ridge/XGBoost/CatBoost/MLP are future candidates, not current dependencies.</w:t>
            </w:r>
          </w:p>
        </w:tc>
      </w:tr>
      <w:tr>
        <w:tc>
          <w:tcPr>
            <w:tcW w:type="dxa" w:w="3360"/>
          </w:tcPr>
          <w:p>
            <w:r>
              <w:t>AD-008</w:t>
            </w:r>
          </w:p>
        </w:tc>
        <w:tc>
          <w:tcPr>
            <w:tcW w:type="dxa" w:w="3360"/>
          </w:tcPr>
          <w:p>
            <w:r>
              <w:t>Ensemble only if proven</w:t>
            </w:r>
          </w:p>
        </w:tc>
        <w:tc>
          <w:tcPr>
            <w:tcW w:type="dxa" w:w="3360"/>
          </w:tcPr>
          <w:p>
            <w:r>
              <w:t>Use blending only when out-of-sample validation demonstrates meaningful improvement.</w:t>
            </w:r>
          </w:p>
        </w:tc>
      </w:tr>
      <w:tr>
        <w:tc>
          <w:tcPr>
            <w:tcW w:type="dxa" w:w="3360"/>
          </w:tcPr>
          <w:p>
            <w:r>
              <w:t>AD-009</w:t>
            </w:r>
          </w:p>
        </w:tc>
        <w:tc>
          <w:tcPr>
            <w:tcW w:type="dxa" w:w="3360"/>
          </w:tcPr>
          <w:p>
            <w:r>
              <w:t>Research references</w:t>
            </w:r>
          </w:p>
        </w:tc>
        <w:tc>
          <w:tcPr>
            <w:tcW w:type="dxa" w:w="3360"/>
          </w:tcPr>
          <w:p>
            <w:r>
              <w:t>Use AIrsenal, OpenFPL, FPL Review and similar projects for design lessons; do not copy weights or performance claims without validation.</w:t>
            </w:r>
          </w:p>
        </w:tc>
      </w:tr>
      <w:tr>
        <w:tc>
          <w:tcPr>
            <w:tcW w:type="dxa" w:w="3360"/>
          </w:tcPr>
          <w:p>
            <w:r>
              <w:t>AD-010</w:t>
            </w:r>
          </w:p>
        </w:tc>
        <w:tc>
          <w:tcPr>
            <w:tcW w:type="dxa" w:w="3360"/>
          </w:tcPr>
          <w:p>
            <w:r>
              <w:t>Underlying xGC status</w:t>
            </w:r>
          </w:p>
        </w:tc>
        <w:tc>
          <w:tcPr>
            <w:tcW w:type="dxa" w:w="3360"/>
          </w:tcPr>
          <w:p>
            <w:r>
              <w:t>Retain team_data.py underlying_xgc for diagnostics, but do not use it for production defensive modelling until its aggregation methodology is validated.</w:t>
            </w:r>
          </w:p>
        </w:tc>
      </w:tr>
      <w:tr>
        <w:tc>
          <w:tcPr>
            <w:tcW w:type="dxa" w:w="3360"/>
          </w:tcPr>
          <w:p>
            <w:r>
              <w:t>AD-011</w:t>
            </w:r>
          </w:p>
        </w:tc>
        <w:tc>
          <w:tcPr>
            <w:tcW w:type="dxa" w:w="3360"/>
          </w:tcPr>
          <w:p>
            <w:r>
              <w:t>Prediction audit trail</w:t>
            </w:r>
          </w:p>
        </w:tc>
        <w:tc>
          <w:tcPr>
            <w:tcW w:type="dxa" w:w="3360"/>
          </w:tcPr>
          <w:p>
            <w:r>
              <w:t>Store predictions before fixtures, actual outcomes afterward, model version and relevant inputs.</w:t>
            </w:r>
          </w:p>
        </w:tc>
      </w:tr>
      <w:tr>
        <w:tc>
          <w:tcPr>
            <w:tcW w:type="dxa" w:w="3360"/>
          </w:tcPr>
          <w:p>
            <w:r>
              <w:t>AD-012</w:t>
            </w:r>
          </w:p>
        </w:tc>
        <w:tc>
          <w:tcPr>
            <w:tcW w:type="dxa" w:w="3360"/>
          </w:tcPr>
          <w:p>
            <w:r>
              <w:t>No automatic FPL actions in MVP</w:t>
            </w:r>
          </w:p>
        </w:tc>
        <w:tc>
          <w:tcPr>
            <w:tcW w:type="dxa" w:w="3360"/>
          </w:tcPr>
          <w:p>
            <w:r>
              <w:t>Recommendations require user execution/confirmation; authenticated private state and automatic actions remain future considerations.</w:t>
            </w:r>
          </w:p>
        </w:tc>
      </w:tr>
      <w:tr>
        <w:tc>
          <w:tcPr>
            <w:tcW w:type="dxa" w:w="3360"/>
          </w:tcPr>
          <w:p>
            <w:r>
              <w:t>AD-013</w:t>
            </w:r>
          </w:p>
        </w:tc>
        <w:tc>
          <w:tcPr>
            <w:tcW w:type="dxa" w:w="3360"/>
          </w:tcPr>
          <w:p>
            <w:r>
              <w:t>FPL-authoritative historical truth</w:t>
            </w:r>
          </w:p>
        </w:tc>
        <w:tc>
          <w:tcPr>
            <w:tcW w:type="dxa" w:w="3360"/>
          </w:tcPr>
          <w:p>
            <w:r>
              <w:t>Core historical player/team data remains FPL-authoritative. Do not silently fill missing FPL fields with third-party estimates; missing authoritative fields remain NULL.</w:t>
            </w:r>
          </w:p>
        </w:tc>
      </w:tr>
      <w:tr>
        <w:tc>
          <w:tcPr>
            <w:tcW w:type="dxa" w:w="3360"/>
          </w:tcPr>
          <w:p>
            <w:r>
              <w:t>AD-014</w:t>
            </w:r>
          </w:p>
        </w:tc>
        <w:tc>
          <w:tcPr>
            <w:tcW w:type="dxa" w:w="3360"/>
          </w:tcPr>
          <w:p>
            <w:r>
              <w:t>Secondary sources deferred from core truth</w:t>
            </w:r>
          </w:p>
        </w:tc>
        <w:tc>
          <w:tcPr>
            <w:tcW w:type="dxa" w:w="3360"/>
          </w:tcPr>
          <w:p>
            <w:r>
              <w:t>Understat and other external underlying-data sources may be evaluated later as separate modelling features, only after leakage-safe walk-forward testing demonstrates value.</w:t>
            </w:r>
          </w:p>
        </w:tc>
      </w:tr>
      <w:tr>
        <w:tc>
          <w:tcPr>
            <w:tcW w:type="dxa" w:w="3360"/>
          </w:tcPr>
          <w:p>
            <w:r>
              <w:t>AD-015</w:t>
            </w:r>
          </w:p>
        </w:tc>
        <w:tc>
          <w:tcPr>
            <w:tcW w:type="dxa" w:w="3360"/>
          </w:tcPr>
          <w:p>
            <w:r>
              <w:t>Historical player canonical grain</w:t>
            </w:r>
          </w:p>
        </w:tc>
        <w:tc>
          <w:tcPr>
            <w:tcW w:type="dxa" w:w="3360"/>
          </w:tcPr>
          <w:p>
            <w:r>
              <w:t>Use one record per season + player + fixture. Collapse exact duplicates only after validation; conflicting duplicates fail.</w:t>
            </w:r>
          </w:p>
        </w:tc>
      </w:tr>
      <w:tr>
        <w:tc>
          <w:tcPr>
            <w:tcW w:type="dxa" w:w="3360"/>
          </w:tcPr>
          <w:p>
            <w:r>
              <w:t>AD-016</w:t>
            </w:r>
          </w:p>
        </w:tc>
        <w:tc>
          <w:tcPr>
            <w:tcW w:type="dxa" w:w="3360"/>
          </w:tcPr>
          <w:p>
            <w:r>
              <w:t>Historical player ingestion checkpoint</w:t>
            </w:r>
          </w:p>
        </w:tc>
        <w:tc>
          <w:tcPr>
            <w:tcW w:type="dxa" w:w="3360"/>
          </w:tcPr>
          <w:p>
            <w:r>
              <w:t>Accept the validated six-season player layer: 2020/21–2025/26, 163,394 canonical records, provenance retained and known exact duplicates handled.</w:t>
            </w:r>
          </w:p>
        </w:tc>
      </w:tr>
      <w:tr>
        <w:tc>
          <w:tcPr>
            <w:tcW w:type="dxa" w:w="3360"/>
          </w:tcPr>
          <w:p>
            <w:r>
              <w:t>AD-017</w:t>
            </w:r>
          </w:p>
        </w:tc>
        <w:tc>
          <w:tcPr>
            <w:tcW w:type="dxa" w:w="3360"/>
          </w:tcPr>
          <w:p>
            <w:r>
              <w:t>One universal optimizer per FPL team</w:t>
            </w:r>
          </w:p>
        </w:tc>
        <w:tc>
          <w:tcPr>
            <w:tcW w:type="dxa" w:w="3360"/>
          </w:tcPr>
          <w:p>
            <w:r>
              <w:t>Do not optimize the same FPL team independently for different mini-leagues. Leagues are contextual inputs; the action must remain one team-level decision.</w:t>
            </w:r>
          </w:p>
        </w:tc>
      </w:tr>
      <w:tr>
        <w:tc>
          <w:tcPr>
            <w:tcW w:type="dxa" w:w="3360"/>
          </w:tcPr>
          <w:p>
            <w:r>
              <w:t>AD-018</w:t>
            </w:r>
          </w:p>
        </w:tc>
        <w:tc>
          <w:tcPr>
            <w:tcW w:type="dxa" w:w="3360"/>
          </w:tcPr>
          <w:p>
            <w:r>
              <w:t>Flexible league/prize model</w:t>
            </w:r>
          </w:p>
        </w:tc>
        <w:tc>
          <w:tcPr>
            <w:tcW w:type="dxa" w:w="3360"/>
          </w:tcPr>
          <w:p>
            <w:r>
              <w:t>League membership, standings and payout structures are data/configuration, not hard-coded strategy assumptions.</w:t>
            </w:r>
          </w:p>
        </w:tc>
      </w:tr>
      <w:tr>
        <w:tc>
          <w:tcPr>
            <w:tcW w:type="dxa" w:w="3360"/>
          </w:tcPr>
          <w:p>
            <w:r>
              <w:t>AD-019</w:t>
            </w:r>
          </w:p>
        </w:tc>
        <w:tc>
          <w:tcPr>
            <w:tcW w:type="dxa" w:w="3360"/>
          </w:tcPr>
          <w:p>
            <w:r>
              <w:t>Persistent conversation/session model</w:t>
            </w:r>
          </w:p>
        </w:tc>
        <w:tc>
          <w:tcPr>
            <w:tcW w:type="dxa" w:w="3360"/>
          </w:tcPr>
          <w:p>
            <w:r>
              <w:t>Support multiple named persistent conversations per user while keeping structured strategic memory separate from raw chat history.</w:t>
            </w:r>
          </w:p>
        </w:tc>
      </w:tr>
      <w:tr>
        <w:tc>
          <w:tcPr>
            <w:tcW w:type="dxa" w:w="3360"/>
          </w:tcPr>
          <w:p>
            <w:r>
              <w:t>AD-020</w:t>
            </w:r>
          </w:p>
        </w:tc>
        <w:tc>
          <w:tcPr>
            <w:tcW w:type="dxa" w:w="3360"/>
          </w:tcPr>
          <w:p>
            <w:r>
              <w:t>Proactive operating cadence</w:t>
            </w:r>
          </w:p>
        </w:tc>
        <w:tc>
          <w:tcPr>
            <w:tcW w:type="dxa" w:w="3360"/>
          </w:tcPr>
          <w:p>
            <w:r>
              <w:t>Target approximately three strategic analyses per GW: post-GW, midweek and pre-deadline.</w:t>
            </w:r>
          </w:p>
        </w:tc>
      </w:tr>
      <w:tr>
        <w:tc>
          <w:tcPr>
            <w:tcW w:type="dxa" w:w="3360"/>
          </w:tcPr>
          <w:p>
            <w:r>
              <w:t>AD-021</w:t>
            </w:r>
          </w:p>
        </w:tc>
        <w:tc>
          <w:tcPr>
            <w:tcW w:type="dxa" w:w="3360"/>
          </w:tcPr>
          <w:p>
            <w:r>
              <w:t>Authoritative state re-verification</w:t>
            </w:r>
          </w:p>
        </w:tc>
        <w:tc>
          <w:tcPr>
            <w:tcW w:type="dxa" w:w="3360"/>
          </w:tcPr>
          <w:p>
            <w:r>
              <w:t>When the user reports a transfer/action, refresh authoritative FPL state before subsequent strategy decisions; do not trust chat memory as state.</w:t>
            </w:r>
          </w:p>
        </w:tc>
      </w:tr>
      <w:tr>
        <w:tc>
          <w:tcPr>
            <w:tcW w:type="dxa" w:w="3360"/>
          </w:tcPr>
          <w:p>
            <w:r>
              <w:t>AD-022</w:t>
            </w:r>
          </w:p>
        </w:tc>
        <w:tc>
          <w:tcPr>
            <w:tcW w:type="dxa" w:w="3360"/>
          </w:tcPr>
          <w:p>
            <w:r>
              <w:t>NO DATA = NO ANSWER</w:t>
            </w:r>
          </w:p>
        </w:tc>
        <w:tc>
          <w:tcPr>
            <w:tcW w:type="dxa" w:w="3360"/>
          </w:tcPr>
          <w:p>
            <w:r>
              <w:t>Decision-critical missing/unverified data must be surfaced and excluded from unsupported recommendations.</w:t>
            </w:r>
          </w:p>
        </w:tc>
      </w:tr>
      <w:tr>
        <w:tc>
          <w:tcPr>
            <w:tcW w:type="dxa" w:w="3360"/>
          </w:tcPr>
          <w:p>
            <w:r>
              <w:t>AD-023</w:t>
            </w:r>
          </w:p>
        </w:tc>
        <w:tc>
          <w:tcPr>
            <w:tcW w:type="dxa" w:w="3360"/>
          </w:tcPr>
          <w:p>
            <w:r>
              <w:t>Risk-adjusted upside</w:t>
            </w:r>
          </w:p>
        </w:tc>
        <w:tc>
          <w:tcPr>
            <w:tcW w:type="dxa" w:w="3360"/>
          </w:tcPr>
          <w:p>
            <w:r>
              <w:t>Use controlled differentials and ceiling/upside where justified; do not automatically chase weekly prizes with reckless risk.</w:t>
            </w:r>
          </w:p>
        </w:tc>
      </w:tr>
      <w:tr>
        <w:tc>
          <w:tcPr>
            <w:tcW w:type="dxa" w:w="3360"/>
          </w:tcPr>
          <w:p>
            <w:r>
              <w:t>AD-024</w:t>
            </w:r>
          </w:p>
        </w:tc>
        <w:tc>
          <w:tcPr>
            <w:tcW w:type="dxa" w:w="3360"/>
          </w:tcPr>
          <w:p>
            <w:r>
              <w:t>Dream Team is evaluation-only hindsight</w:t>
            </w:r>
          </w:p>
        </w:tc>
        <w:tc>
          <w:tcPr>
            <w:tcW w:type="dxa" w:w="3360"/>
          </w:tcPr>
          <w:p>
            <w:r>
              <w:t>Dream Team data may be used after a GW to evaluate misses/execution, but not as a same-GW prediction input.</w:t>
            </w:r>
          </w:p>
        </w:tc>
      </w:tr>
      <w:tr>
        <w:tc>
          <w:tcPr>
            <w:tcW w:type="dxa" w:w="3360"/>
          </w:tcPr>
          <w:p>
            <w:r>
              <w:t>AD-025</w:t>
            </w:r>
          </w:p>
        </w:tc>
        <w:tc>
          <w:tcPr>
            <w:tcW w:type="dxa" w:w="3360"/>
          </w:tcPr>
          <w:p>
            <w:r>
              <w:t>Cloud-first and ₹0 target</w:t>
            </w:r>
          </w:p>
        </w:tc>
        <w:tc>
          <w:tcPr>
            <w:tcW w:type="dxa" w:w="3360"/>
          </w:tcPr>
          <w:p>
            <w:r>
              <w:t>Design for mobile/web access, persistent cloud state and zero additional operating cost using free/public infrastructure where practical.</w:t>
            </w:r>
          </w:p>
        </w:tc>
      </w:tr>
      <w:tr>
        <w:tc>
          <w:tcPr>
            <w:tcW w:type="dxa" w:w="3360"/>
          </w:tcPr>
          <w:p>
            <w:r>
              <w:t>AD-026</w:t>
            </w:r>
          </w:p>
        </w:tc>
        <w:tc>
          <w:tcPr>
            <w:tcW w:type="dxa" w:w="3360"/>
          </w:tcPr>
          <w:p>
            <w:r>
              <w:t>Shared global data / isolated user state</w:t>
            </w:r>
          </w:p>
        </w:tc>
        <w:tc>
          <w:tcPr>
            <w:tcW w:type="dxa" w:w="3360"/>
          </w:tcPr>
          <w:p>
            <w:r>
              <w:t>Global FPL data should be shared across users while manager state, memory and conversations remain strictly isolated.</w:t>
            </w:r>
          </w:p>
        </w:tc>
      </w:tr>
      <w:tr>
        <w:tc>
          <w:tcPr>
            <w:tcW w:type="dxa" w:w="3360"/>
          </w:tcPr>
          <w:p>
            <w:r>
              <w:t>AD-027</w:t>
            </w:r>
          </w:p>
        </w:tc>
        <w:tc>
          <w:tcPr>
            <w:tcW w:type="dxa" w:w="3360"/>
          </w:tcPr>
          <w:p>
            <w:r>
              <w:t>Interface-independent core</w:t>
            </w:r>
          </w:p>
        </w:tc>
        <w:tc>
          <w:tcPr>
            <w:tcW w:type="dxa" w:w="3360"/>
          </w:tcPr>
          <w:p>
            <w:r>
              <w:t>Streamlit may remain a UI vehicle, but core truth/model/strategy modules must remain independent of app.py.</w:t>
            </w:r>
          </w:p>
        </w:tc>
      </w:tr>
      <w:tr>
        <w:tc>
          <w:tcPr>
            <w:tcW w:type="dxa" w:w="3360"/>
          </w:tcPr>
          <w:p>
            <w:r>
              <w:t>AD-028</w:t>
            </w:r>
          </w:p>
        </w:tc>
        <w:tc>
          <w:tcPr>
            <w:tcW w:type="dxa" w:w="3360"/>
          </w:tcPr>
          <w:p>
            <w:r>
              <w:t>Modular beginner-friendly workflow</w:t>
            </w:r>
          </w:p>
        </w:tc>
        <w:tc>
          <w:tcPr>
            <w:tcW w:type="dxa" w:w="3360"/>
          </w:tcPr>
          <w:p>
            <w:r>
              <w:t>Use complete file replacements, comments, small testable steps and local-test-before-commit workflow.</w:t>
            </w:r>
          </w:p>
        </w:tc>
      </w:tr>
      <w:tr>
        <w:tc>
          <w:tcPr>
            <w:tcW w:type="dxa" w:w="3360"/>
          </w:tcPr>
          <w:p>
            <w:r>
              <w:t>AD-029</w:t>
            </w:r>
          </w:p>
        </w:tc>
        <w:tc>
          <w:tcPr>
            <w:tcW w:type="dxa" w:w="3360"/>
          </w:tcPr>
          <w:p>
            <w:r>
              <w:t>Historical six-season walk-forward windows</w:t>
            </w:r>
          </w:p>
        </w:tc>
        <w:tc>
          <w:tcPr>
            <w:tcW w:type="dxa" w:w="3360"/>
          </w:tcPr>
          <w:p>
            <w:r>
              <w:t>Use 2020/21–2025/26 with expanding training windows and each following season as an out-of-sample test.</w:t>
            </w:r>
          </w:p>
        </w:tc>
      </w:tr>
      <w:tr>
        <w:tc>
          <w:tcPr>
            <w:tcW w:type="dxa" w:w="3360"/>
          </w:tcPr>
          <w:p>
            <w:r>
              <w:t>AD-030</w:t>
            </w:r>
          </w:p>
        </w:tc>
        <w:tc>
          <w:tcPr>
            <w:tcW w:type="dxa" w:w="3360"/>
          </w:tcPr>
          <w:p>
            <w:r>
              <w:t>Fixture-model roadmap ordering</w:t>
            </w:r>
          </w:p>
        </w:tc>
        <w:tc>
          <w:tcPr>
            <w:tcW w:type="dxa" w:w="3360"/>
          </w:tcPr>
          <w:p>
            <w:r>
              <w:t>After historical team/player and team-strength completion, proceed to internal fixture model → official FDR benchmark → prediction snapshots → expected-goals foundation → expected-points → strategy engines → evaluation/learning.</w:t>
            </w:r>
          </w:p>
        </w:tc>
      </w:tr>
      <w:tr>
        <w:tc>
          <w:tcPr>
            <w:tcW w:type="dxa" w:w="3360"/>
          </w:tcPr>
          <w:p>
            <w:r>
              <w:t>AD-031</w:t>
            </w:r>
          </w:p>
        </w:tc>
        <w:tc>
          <w:tcPr>
            <w:tcW w:type="dxa" w:w="3360"/>
          </w:tcPr>
          <w:p>
            <w:r>
              <w:t>Transparent baseline expected-goals model</w:t>
            </w:r>
          </w:p>
        </w:tc>
        <w:tc>
          <w:tcPr>
            <w:tcW w:type="dxa" w:w="3360"/>
          </w:tcPr>
          <w:p>
            <w:r>
              <w:t>Build expected goals as a separate, transparent statistical layer. Start with normalized home/away attack and defensive components and sample-size shrinkage; do not introduce arbitrary fixed weights. Calibrate parameters using expanding walk-forward training seasons and evaluate on the following untouched season. Validate recent form and additional features incrementally. Keep team strength, match expectations, player expected points and strategy as separate layers.</w:t>
            </w:r>
          </w:p>
        </w:tc>
      </w:tr>
      <w:tr>
        <w:tc>
          <w:tcPr>
            <w:tcW w:type="dxa" w:w="3360"/>
          </w:tcPr>
          <w:p>
            <w:r>
              <w:t>AD-032</w:t>
            </w:r>
          </w:p>
        </w:tc>
        <w:tc>
          <w:tcPr>
            <w:tcW w:type="dxa" w:w="3360"/>
          </w:tcPr>
          <w:p>
            <w:r>
              <w:t>Separate Historical Prior Layer from Current-Season Point-in-Time State</w:t>
            </w:r>
          </w:p>
        </w:tc>
        <w:tc>
          <w:tcPr>
            <w:tcW w:type="dxa" w:w="3360"/>
          </w:tcPr>
          <w:p>
            <w:r>
              <w:t>Keep the prediction-time team state strictly season-scoped and cutoff-based. Do not concatenate prior seasons into current-season cumulative or recent-five state. Expose historical context through a separate prior layer so recency/decay, sample-size treatment, promoted/relegated handling and no-history behaviour can be explicitly designed and validated. Do not feed historical priors into the baseline expected-goals model until leakage-safe walk-forward evaluation demonstrates incremental value.</w:t>
            </w:r>
          </w:p>
        </w:tc>
      </w:tr>
      <w:tr>
        <w:tc>
          <w:tcPr>
            <w:tcW w:type="dxa" w:w="3360"/>
          </w:tcPr>
          <w:p>
            <w:r>
              <w:t>AD-033</w:t>
            </w:r>
          </w:p>
        </w:tc>
        <w:tc>
          <w:tcPr>
            <w:tcW w:type="dxa" w:w="3360"/>
          </w:tcPr>
          <w:p>
            <w:r>
              <w:t>Historical Prior Layer methodology</w:t>
            </w:r>
          </w:p>
        </w:tc>
        <w:tc>
          <w:tcPr>
            <w:tcW w:type="dxa" w:w="3360"/>
          </w:tcPr>
          <w:p>
            <w:r>
              <w:t>Keep historical priors separate from current-season point-in-time state. V1 uses up to three completed Premier League seasons with transparent 60%/30%/10% recency weights; current recent_5 remains current-season-only; promoted teams without usable PL history receive no fabricated prior; missing priors remain explicit; sample size and season coverage are retained; no separate historical shrinkage parameter is tuned in V1; walk-forward priors use only seasons completed before the test season; historical-prior integration into the baseline expected-goals model is deferred until leakage-safe validation demonstrates incremental value.</w:t>
            </w:r>
          </w:p>
        </w:tc>
      </w:tr>
      <w:tr>
        <w:tc>
          <w:tcPr>
            <w:tcW w:type="dxa" w:w="3360"/>
          </w:tcPr>
          <w:p>
            <w:r>
              <w:t>AD-034</w:t>
            </w:r>
          </w:p>
        </w:tc>
        <w:tc>
          <w:tcPr>
            <w:tcW w:type="dxa" w:w="3360"/>
          </w:tcPr>
          <w:p>
            <w:r>
              <w:t>SQLite-first persistence behind abstraction</w:t>
            </w:r>
          </w:p>
        </w:tc>
        <w:tc>
          <w:tcPr>
            <w:tcW w:type="dxa" w:w="3360"/>
          </w:tcPr>
          <w:p>
            <w:r>
              <w:t>Use SQLite as the first durable backend while keeping strategy/business logic independent through a repository/data-store interface. JSON remains a prototype/test backend; future cloud storage can implement the same contract.</w:t>
            </w:r>
          </w:p>
        </w:tc>
      </w:tr>
      <w:tr>
        <w:tc>
          <w:tcPr>
            <w:tcW w:type="dxa" w:w="3360"/>
          </w:tcPr>
          <w:p>
            <w:r>
              <w:t>AD-035</w:t>
            </w:r>
          </w:p>
        </w:tc>
        <w:tc>
          <w:tcPr>
            <w:tcW w:type="dxa" w:w="3360"/>
          </w:tcPr>
          <w:p>
            <w:r>
              <w:t>Domain model, not code-file mirroring</w:t>
            </w:r>
          </w:p>
        </w:tc>
        <w:tc>
          <w:tcPr>
            <w:tcW w:type="dxa" w:w="3360"/>
          </w:tcPr>
          <w:p>
            <w:r>
              <w:t>Database tables represent business/data domains and grains, not Python module names. Separate ingestion modules may write to related domain tables.</w:t>
            </w:r>
          </w:p>
        </w:tc>
      </w:tr>
      <w:tr>
        <w:tc>
          <w:tcPr>
            <w:tcW w:type="dxa" w:w="3360"/>
          </w:tcPr>
          <w:p>
            <w:r>
              <w:t>AD-036</w:t>
            </w:r>
          </w:p>
        </w:tc>
        <w:tc>
          <w:tcPr>
            <w:tcW w:type="dxa" w:w="3360"/>
          </w:tcPr>
          <w:p>
            <w:r>
              <w:t>Current versus historical schema separation</w:t>
            </w:r>
          </w:p>
        </w:tc>
        <w:tc>
          <w:tcPr>
            <w:tcW w:type="dxa" w:w="3360"/>
          </w:tcPr>
          <w:p>
            <w:r>
              <w:t>Current-season point-in-time state and validated historical canonical truth are separate persistence layers and may intentionally use different schemas.</w:t>
            </w:r>
          </w:p>
        </w:tc>
      </w:tr>
      <w:tr>
        <w:tc>
          <w:tcPr>
            <w:tcW w:type="dxa" w:w="3360"/>
          </w:tcPr>
          <w:p>
            <w:r>
              <w:t>AD-037</w:t>
            </w:r>
          </w:p>
        </w:tc>
        <w:tc>
          <w:tcPr>
            <w:tcW w:type="dxa" w:w="3360"/>
          </w:tcPr>
          <w:p>
            <w:r>
              <w:t>Canonical grain is a database invariant</w:t>
            </w:r>
          </w:p>
        </w:tc>
        <w:tc>
          <w:tcPr>
            <w:tcW w:type="dxa" w:w="3360"/>
          </w:tcPr>
          <w:p>
            <w:r>
              <w:t>Persisted entities must have explicit grains and business uniqueness constraints. Player-fixture facts use season + player + fixture; manager state uses manager + season + GW; predictions include model version.</w:t>
            </w:r>
          </w:p>
        </w:tc>
      </w:tr>
      <w:tr>
        <w:tc>
          <w:tcPr>
            <w:tcW w:type="dxa" w:w="3360"/>
          </w:tcPr>
          <w:p>
            <w:r>
              <w:t>AD-038</w:t>
            </w:r>
          </w:p>
        </w:tc>
        <w:tc>
          <w:tcPr>
            <w:tcW w:type="dxa" w:w="3360"/>
          </w:tcPr>
          <w:p>
            <w:r>
              <w:t>Ingestion runs versus freshness</w:t>
            </w:r>
          </w:p>
        </w:tc>
        <w:tc>
          <w:tcPr>
            <w:tcW w:type="dxa" w:w="3360"/>
          </w:tcPr>
          <w:p>
            <w:r>
              <w:t>ingestion_runs is the authoritative source retrieval/execution record; dataset_freshness is the resulting dataset usability state. They are separate concerns and must not be duplicated.</w:t>
            </w:r>
          </w:p>
        </w:tc>
      </w:tr>
      <w:tr>
        <w:tc>
          <w:tcPr>
            <w:tcW w:type="dxa" w:w="3360"/>
          </w:tcPr>
          <w:p>
            <w:r>
              <w:t>AD-039</w:t>
            </w:r>
          </w:p>
        </w:tc>
        <w:tc>
          <w:tcPr>
            <w:tcW w:type="dxa" w:w="3360"/>
          </w:tcPr>
          <w:p>
            <w:r>
              <w:t>Explicit data lineage</w:t>
            </w:r>
          </w:p>
        </w:tc>
        <w:tc>
          <w:tcPr>
            <w:tcW w:type="dxa" w:w="3360"/>
          </w:tcPr>
          <w:p>
            <w:r>
              <w:t>data_lineage stores versioned source-to-target field mappings and transformations so outputs can be traced back to original sources and fields.</w:t>
            </w:r>
          </w:p>
        </w:tc>
      </w:tr>
      <w:tr>
        <w:tc>
          <w:tcPr>
            <w:tcW w:type="dxa" w:w="3360"/>
          </w:tcPr>
          <w:p>
            <w:r>
              <w:t>AD-040</w:t>
            </w:r>
          </w:p>
        </w:tc>
        <w:tc>
          <w:tcPr>
            <w:tcW w:type="dxa" w:w="3360"/>
          </w:tcPr>
          <w:p>
            <w:r>
              <w:t>Persist only purposeful fields</w:t>
            </w:r>
          </w:p>
        </w:tc>
        <w:tc>
          <w:tcPr>
            <w:tcW w:type="dxa" w:w="3360"/>
          </w:tcPr>
          <w:p>
            <w:r>
              <w:t>Persist fields required by current modules, explicit future modelling/audit needs or auditability. Do not create dedicated columns merely because an external source exposes a field.</w:t>
            </w:r>
          </w:p>
        </w:tc>
      </w:tr>
      <w:tr>
        <w:tc>
          <w:tcPr>
            <w:tcW w:type="dxa" w:w="3360"/>
          </w:tcPr>
          <w:p>
            <w:r>
              <w:t>AD-041</w:t>
            </w:r>
          </w:p>
        </w:tc>
        <w:tc>
          <w:tcPr>
            <w:tcW w:type="dxa" w:w="3360"/>
          </w:tcPr>
          <w:p>
            <w:r>
              <w:t>Historical promotion without new external integration</w:t>
            </w:r>
          </w:p>
        </w:tc>
        <w:tc>
          <w:tcPr>
            <w:tcW w:type="dxa" w:w="3360"/>
          </w:tcPr>
          <w:p>
            <w:r>
              <w:t>At season completion, convert validated current-season data to the canonical historical schema using explicit mappings and lineage; do not require a new one-off external historical integration.</w:t>
            </w:r>
          </w:p>
        </w:tc>
      </w:tr>
      <w:tr>
        <w:tc>
          <w:tcPr>
            <w:tcW w:type="dxa" w:w="3360"/>
          </w:tcPr>
          <w:p>
            <w:r>
              <w:t>AD-042</w:t>
            </w:r>
          </w:p>
        </w:tc>
        <w:tc>
          <w:tcPr>
            <w:tcW w:type="dxa" w:w="3360"/>
          </w:tcPr>
          <w:p>
            <w:r>
              <w:t>Freeze validated historical truth</w:t>
            </w:r>
          </w:p>
        </w:tc>
        <w:tc>
          <w:tcPr>
            <w:tcW w:type="dxa" w:w="3360"/>
          </w:tcPr>
          <w:p>
            <w:r>
              <w:t>Once a completed season passes validation and promotion, the historical dataset becomes immutable except through a controlled correction/versioning process.</w:t>
            </w:r>
          </w:p>
        </w:tc>
      </w:tr>
      <w:tr>
        <w:tc>
          <w:tcPr>
            <w:tcW w:type="dxa" w:w="3360"/>
          </w:tcPr>
          <w:p>
            <w:r>
              <w:t>AD-043</w:t>
            </w:r>
          </w:p>
        </w:tc>
        <w:tc>
          <w:tcPr>
            <w:tcW w:type="dxa" w:w="3360"/>
          </w:tcPr>
          <w:p>
            <w:r>
              <w:t>Documentation as controlled project artefact</w:t>
            </w:r>
          </w:p>
        </w:tc>
        <w:tc>
          <w:tcPr>
            <w:tcW w:type="dxa" w:w="3360"/>
          </w:tcPr>
          <w:p>
            <w:r>
              <w:t>The BRD, Functional Specification, Technical Specification and Architecture Decision Log are a coordinated living documentation set and should be stored in GitHub with the implementation.</w:t>
            </w:r>
          </w:p>
        </w:tc>
      </w:tr>
      <w:tr>
        <w:tc>
          <w:tcPr>
            <w:tcW w:type="dxa" w:w="3360"/>
          </w:tcPr>
          <w:p>
            <w:r>
              <w:t>AD-CP18-01</w:t>
            </w:r>
          </w:p>
        </w:tc>
        <w:tc>
          <w:tcPr>
            <w:tcW w:type="dxa" w:w="3360"/>
          </w:tcPr>
          <w:p>
            <w:r>
              <w:t>Production projection as the authoritative strategy input</w:t>
            </w:r>
          </w:p>
        </w:tc>
        <w:tc>
          <w:tcPr>
            <w:tcW w:type="dxa" w:w="3360"/>
          </w:tcPr>
          <w:p>
            <w:r>
              <w:t>The production projection pipeline is the explicit bridge from point-in-time team/fixture modelling to multi-GW player projections consumed by strategy.</w:t>
            </w:r>
          </w:p>
        </w:tc>
      </w:tr>
      <w:tr>
        <w:tc>
          <w:tcPr>
            <w:tcW w:type="dxa" w:w="3360"/>
          </w:tcPr>
          <w:p>
            <w:r>
              <w:t>AD-CP18-02</w:t>
            </w:r>
          </w:p>
        </w:tc>
        <w:tc>
          <w:tcPr>
            <w:tcW w:type="dxa" w:w="3360"/>
          </w:tcPr>
          <w:p>
            <w:r>
              <w:t>Explicit target/horizon and leakage contract</w:t>
            </w:r>
          </w:p>
        </w:tc>
        <w:tc>
          <w:tcPr>
            <w:tcW w:type="dxa" w:w="3360"/>
          </w:tcPr>
          <w:p>
            <w:r>
              <w:t>Production projections use only completed fixtures before the target Gameweek for team state and only uncompleted fixtures within the requested horizon as forecast inputs.</w:t>
            </w:r>
          </w:p>
        </w:tc>
      </w:tr>
      <w:tr>
        <w:tc>
          <w:tcPr>
            <w:tcW w:type="dxa" w:w="3360"/>
          </w:tcPr>
          <w:p>
            <w:r>
              <w:t>AD-CP18-03</w:t>
            </w:r>
          </w:p>
        </w:tc>
        <w:tc>
          <w:tcPr>
            <w:tcW w:type="dxa" w:w="3360"/>
          </w:tcPr>
          <w:p>
            <w:r>
              <w:t>ProductionProjectionResult at the orchestrator boundary</w:t>
            </w:r>
          </w:p>
        </w:tc>
        <w:tc>
          <w:tcPr>
            <w:tcW w:type="dxa" w:w="3360"/>
          </w:tcPr>
          <w:p>
            <w:r>
              <w:t>The strategy orchestrator validates and consumes a typed projection result, preserving backward compatibility while making the production contract explicit.</w:t>
            </w:r>
          </w:p>
        </w:tc>
      </w:tr>
      <w:tr>
        <w:tc>
          <w:tcPr>
            <w:tcW w:type="dxa" w:w="3360"/>
          </w:tcPr>
          <w:p>
            <w:r>
              <w:t>AD-CP18-04</w:t>
            </w:r>
          </w:p>
        </w:tc>
        <w:tc>
          <w:tcPr>
            <w:tcW w:type="dxa" w:w="3360"/>
          </w:tcPr>
          <w:p>
            <w:r>
              <w:t>Projection completeness and warnings propagate</w:t>
            </w:r>
          </w:p>
        </w:tc>
        <w:tc>
          <w:tcPr>
            <w:tcW w:type="dxa" w:w="3360"/>
          </w:tcPr>
          <w:p>
            <w:r>
              <w:t>Incomplete projection data must remain visible in the final decision; missing decision-critical state must not be silently fabricated.</w:t>
            </w:r>
          </w:p>
        </w:tc>
      </w:tr>
      <w:tr>
        <w:tc>
          <w:tcPr>
            <w:tcW w:type="dxa" w:w="3360"/>
          </w:tcPr>
          <w:p>
            <w:r>
              <w:t>AD-CP18-05</w:t>
            </w:r>
          </w:p>
        </w:tc>
        <w:tc>
          <w:tcPr>
            <w:tcW w:type="dxa" w:w="3360"/>
          </w:tcPr>
          <w:p>
            <w:r>
              <w:t>Runtime projection is not a new persistence entity</w:t>
            </w:r>
          </w:p>
        </w:tc>
        <w:tc>
          <w:tcPr>
            <w:tcW w:type="dxa" w:w="3360"/>
          </w:tcPr>
          <w:p>
            <w:r>
              <w:t>The projection result is a derived runtime contract. Persistent prediction snapshots and decision audits remain governed by the approved relational data model.</w:t>
            </w:r>
          </w:p>
        </w:tc>
      </w:tr>
      <w:tr>
        <w:tc>
          <w:tcPr>
            <w:tcW w:type="dxa" w:w="3360"/>
          </w:tcPr>
          <w:p>
            <w:r>
              <w:t>AD-CP17-01</w:t>
            </w:r>
          </w:p>
        </w:tc>
        <w:tc>
          <w:tcPr>
            <w:tcW w:type="dxa" w:w="3360"/>
          </w:tcPr>
          <w:p>
            <w:r>
              <w:t>Atomic canonical refresh</w:t>
            </w:r>
          </w:p>
        </w:tc>
        <w:tc>
          <w:tcPr>
            <w:tcW w:type="dxa" w:w="3360"/>
          </w:tcPr>
          <w:p>
            <w:r>
              <w:t>Canonical refresh writes must execute inside one repository transaction so a failed refresh cannot leave a partially refreshed truth layer.</w:t>
            </w:r>
          </w:p>
        </w:tc>
      </w:tr>
      <w:tr>
        <w:tc>
          <w:tcPr>
            <w:tcW w:type="dxa" w:w="3360"/>
          </w:tcPr>
          <w:p>
            <w:r>
              <w:t>AD-CP17-02</w:t>
            </w:r>
          </w:p>
        </w:tc>
        <w:tc>
          <w:tcPr>
            <w:tcW w:type="dxa" w:w="3360"/>
          </w:tcPr>
          <w:p>
            <w:r>
              <w:t>Durable ingestion audit outside canonical transaction</w:t>
            </w:r>
          </w:p>
        </w:tc>
        <w:tc>
          <w:tcPr>
            <w:tcW w:type="dxa" w:w="3360"/>
          </w:tcPr>
          <w:p>
            <w:r>
              <w:t>Create the ingestion execution record outside the canonical data transaction so failures remain auditable even when data writes roll back.</w:t>
            </w:r>
          </w:p>
        </w:tc>
      </w:tr>
      <w:tr>
        <w:tc>
          <w:tcPr>
            <w:tcW w:type="dxa" w:w="3360"/>
          </w:tcPr>
          <w:p>
            <w:r>
              <w:t>AD-CP17-03</w:t>
            </w:r>
          </w:p>
        </w:tc>
        <w:tc>
          <w:tcPr>
            <w:tcW w:type="dxa" w:w="3360"/>
          </w:tcPr>
          <w:p>
            <w:r>
              <w:t>Failed refresh preserves prior successful state</w:t>
            </w:r>
          </w:p>
        </w:tc>
        <w:tc>
          <w:tcPr>
            <w:tcW w:type="dxa" w:w="3360"/>
          </w:tcPr>
          <w:p>
            <w:r>
              <w:t>A failed refresh after success must preserve prior canonical data, record the failed attempt and mark freshness STALE rather than presenting the old success as current.</w:t>
            </w:r>
          </w:p>
        </w:tc>
      </w:tr>
      <w:tr>
        <w:tc>
          <w:tcPr>
            <w:tcW w:type="dxa" w:w="3360"/>
          </w:tcPr>
          <w:p>
            <w:r>
              <w:t>AD-CP17-04</w:t>
            </w:r>
          </w:p>
        </w:tc>
        <w:tc>
          <w:tcPr>
            <w:tcW w:type="dxa" w:w="3360"/>
          </w:tcPr>
          <w:p>
            <w:r>
              <w:t>Refresh idempotency</w:t>
            </w:r>
          </w:p>
        </w:tc>
        <w:tc>
          <w:tcPr>
            <w:tcW w:type="dxa" w:w="3360"/>
          </w:tcPr>
          <w:p>
            <w:r>
              <w:t>Repeated identical source refreshes must not create duplicate current/master records; snapshot observations remain append-style.</w:t>
            </w:r>
          </w:p>
        </w:tc>
      </w:tr>
      <w:tr>
        <w:tc>
          <w:tcPr>
            <w:tcW w:type="dxa" w:w="3360"/>
          </w:tcPr>
          <w:p>
            <w:r>
              <w:t>AD-CP17-05</w:t>
            </w:r>
          </w:p>
        </w:tc>
        <w:tc>
          <w:tcPr>
            <w:tcW w:type="dxa" w:w="3360"/>
          </w:tcPr>
          <w:p>
            <w:r>
              <w:t>Latest-ingestion freshness association</w:t>
            </w:r>
          </w:p>
        </w:tc>
        <w:tc>
          <w:tcPr>
            <w:tcW w:type="dxa" w:w="3360"/>
          </w:tcPr>
          <w:p>
            <w:r>
              <w:t>After successful refresh, dataset freshness must reference the latest successful ingestion execution; failure must not advance successful freshness.</w:t>
            </w:r>
          </w:p>
        </w:tc>
      </w:tr>
      <w:tr>
        <w:tc>
          <w:tcPr>
            <w:tcW w:type="dxa" w:w="3360"/>
          </w:tcPr>
          <w:p>
            <w:r>
              <w:t>AD-CP18-01</w:t>
            </w:r>
          </w:p>
        </w:tc>
        <w:tc>
          <w:tcPr>
            <w:tcW w:type="dxa" w:w="3360"/>
          </w:tcPr>
          <w:p>
            <w:r>
              <w:t>Production projection as strategy-input bridge</w:t>
            </w:r>
          </w:p>
        </w:tc>
        <w:tc>
          <w:tcPr>
            <w:tcW w:type="dxa" w:w="3360"/>
          </w:tcPr>
          <w:p>
            <w:r>
              <w:t>ProductionProjectionResult is the explicit bridge between verified/modelled inputs and strategy orchestration.</w:t>
            </w:r>
          </w:p>
        </w:tc>
      </w:tr>
      <w:tr>
        <w:tc>
          <w:tcPr>
            <w:tcW w:type="dxa" w:w="3360"/>
          </w:tcPr>
          <w:p>
            <w:r>
              <w:t>AD-CP18-02</w:t>
            </w:r>
          </w:p>
        </w:tc>
        <w:tc>
          <w:tcPr>
            <w:tcW w:type="dxa" w:w="3360"/>
          </w:tcPr>
          <w:p>
            <w:r>
              <w:t>Point-in-time projection horizon contract</w:t>
            </w:r>
          </w:p>
        </w:tc>
        <w:tc>
          <w:tcPr>
            <w:tcW w:type="dxa" w:w="3360"/>
          </w:tcPr>
          <w:p>
            <w:r>
              <w:t>Completed fixtures before target GW define the state boundary; only future/uncompleted fixtures in the requested horizon may drive the forecast.</w:t>
            </w:r>
          </w:p>
        </w:tc>
      </w:tr>
      <w:tr>
        <w:tc>
          <w:tcPr>
            <w:tcW w:type="dxa" w:w="3360"/>
          </w:tcPr>
          <w:p>
            <w:r>
              <w:t>AD-CP18-03</w:t>
            </w:r>
          </w:p>
        </w:tc>
        <w:tc>
          <w:tcPr>
            <w:tcW w:type="dxa" w:w="3360"/>
          </w:tcPr>
          <w:p>
            <w:r>
              <w:t>Typed production orchestration boundary</w:t>
            </w:r>
          </w:p>
        </w:tc>
        <w:tc>
          <w:tcPr>
            <w:tcW w:type="dxa" w:w="3360"/>
          </w:tcPr>
          <w:p>
            <w:r>
              <w:t>The production adapter accepts ProductionProjectionResult and validates target/horizon alignment before invoking existing orchestration.</w:t>
            </w:r>
          </w:p>
        </w:tc>
      </w:tr>
      <w:tr>
        <w:tc>
          <w:tcPr>
            <w:tcW w:type="dxa" w:w="3360"/>
          </w:tcPr>
          <w:p>
            <w:r>
              <w:t>AD-CP18-04</w:t>
            </w:r>
          </w:p>
        </w:tc>
        <w:tc>
          <w:tcPr>
            <w:tcW w:type="dxa" w:w="3360"/>
          </w:tcPr>
          <w:p>
            <w:r>
              <w:t>Projection trust propagation</w:t>
            </w:r>
          </w:p>
        </w:tc>
        <w:tc>
          <w:tcPr>
            <w:tcW w:type="dxa" w:w="3360"/>
          </w:tcPr>
          <w:p>
            <w:r>
              <w:t>Projection completeness and warnings must propagate into StrategicDecision; downstream strategy must not silently upgrade incomplete projection data to complete.</w:t>
            </w:r>
          </w:p>
        </w:tc>
      </w:tr>
      <w:tr>
        <w:tc>
          <w:tcPr>
            <w:tcW w:type="dxa" w:w="3360"/>
          </w:tcPr>
          <w:p>
            <w:r>
              <w:t>AD-CP18-05</w:t>
            </w:r>
          </w:p>
        </w:tc>
        <w:tc>
          <w:tcPr>
            <w:tcW w:type="dxa" w:w="3360"/>
          </w:tcPr>
          <w:p>
            <w:r>
              <w:t>Runtime projection is not a persistence entity</w:t>
            </w:r>
          </w:p>
        </w:tc>
        <w:tc>
          <w:tcPr>
            <w:tcW w:type="dxa" w:w="3360"/>
          </w:tcPr>
          <w:p>
            <w:r>
              <w:t>ProductionProjectionResult is a runtime model contract, not a new canonical relational entity; persistence of prediction snapshots remains a later decision.</w:t>
            </w:r>
          </w:p>
        </w:tc>
      </w:tr>
      <w:tr>
        <w:tc>
          <w:tcPr>
            <w:tcW w:type="dxa" w:w="3360"/>
          </w:tcPr>
          <w:p>
            <w:r>
              <w:t>AD-CP18-06</w:t>
            </w:r>
          </w:p>
        </w:tc>
        <w:tc>
          <w:tcPr>
            <w:tcW w:type="dxa" w:w="3360"/>
          </w:tcPr>
          <w:p>
            <w:r>
              <w:t>Backward-compatible orchestrator versioning</w:t>
            </w:r>
          </w:p>
        </w:tc>
        <w:tc>
          <w:tcPr>
            <w:tcW w:type="dxa" w:w="3360"/>
          </w:tcPr>
          <w:p>
            <w:r>
              <w:t>Keep legacy direct orchestration at strategy_orchestrator_v1_2 and version only the production-integrated path as strategy_orchestrator_v1_3.</w:t>
            </w:r>
          </w:p>
        </w:tc>
      </w:tr>
    </w:tbl>
    <w:p>
      <w:pPr>
        <w:pStyle w:val="Heading1"/>
      </w:pPr>
      <w:bookmarkStart w:id="1002" w:name="IndexTarget1002"/>
      <w:r>
        <w:t>2. Key Current Decisions by Domain</w:t>
      </w:r>
      <w:bookmarkEnd w:id="1002"/>
    </w:p>
    <w:p>
      <w:pPr>
        <w:pStyle w:val="Heading2"/>
      </w:pPr>
      <w:r>
        <w:t>Data truth</w:t>
      </w:r>
    </w:p>
    <w:p>
      <w:pPr>
        <w:pStyle w:val="ListBullet"/>
      </w:pPr>
      <w:r>
        <w:t>Official FPL API is the authoritative source for current FPL facts.</w:t>
      </w:r>
    </w:p>
    <w:p>
      <w:pPr>
        <w:pStyle w:val="ListBullet"/>
      </w:pPr>
      <w:r>
        <w:t>Historical player/team core data remains FPL-authoritative.</w:t>
      </w:r>
    </w:p>
    <w:p>
      <w:pPr>
        <w:pStyle w:val="ListBullet"/>
      </w:pPr>
      <w:r>
        <w:t>Secondary sources are separate modelling features only if later validated.</w:t>
      </w:r>
    </w:p>
    <w:p>
      <w:pPr>
        <w:pStyle w:val="Heading2"/>
      </w:pPr>
      <w:r>
        <w:t>Prediction</w:t>
      </w:r>
    </w:p>
    <w:p>
      <w:pPr>
        <w:pStyle w:val="ListBullet"/>
      </w:pPr>
      <w:r>
        <w:t>Current-season prediction state is point-in-time and season-scoped; historical priors are a separate layer.</w:t>
      </w:r>
    </w:p>
    <w:p>
      <w:pPr>
        <w:pStyle w:val="ListBullet"/>
      </w:pPr>
      <w:r>
        <w:t>Historical Prior Layer integration is deferred until its methodology is explicitly specified and validated.</w:t>
      </w:r>
    </w:p>
    <w:p>
      <w:pPr>
        <w:pStyle w:val="ListBullet"/>
      </w:pPr>
      <w:r>
        <w:t>Statistical-first baseline.</w:t>
      </w:r>
    </w:p>
    <w:p>
      <w:pPr>
        <w:pStyle w:val="ListBullet"/>
      </w:pPr>
      <w:r>
        <w:t>Walk-forward evaluation.</w:t>
      </w:r>
    </w:p>
    <w:p>
      <w:pPr>
        <w:pStyle w:val="ListBullet"/>
      </w:pPr>
      <w:r>
        <w:t>Prediction snapshots before fixtures and actuals after fixtures.</w:t>
      </w:r>
    </w:p>
    <w:p>
      <w:pPr>
        <w:pStyle w:val="ListBullet"/>
      </w:pPr>
      <w:r>
        <w:t>No look-ahead leakage.</w:t>
      </w:r>
    </w:p>
    <w:p>
      <w:pPr>
        <w:pStyle w:val="Heading2"/>
      </w:pPr>
      <w:r>
        <w:t>Strategy</w:t>
      </w:r>
    </w:p>
    <w:p>
      <w:pPr>
        <w:pStyle w:val="ListBullet"/>
      </w:pPr>
      <w:r>
        <w:t>One universal optimizer per FPL team.</w:t>
      </w:r>
    </w:p>
    <w:p>
      <w:pPr>
        <w:pStyle w:val="ListBullet"/>
      </w:pPr>
      <w:r>
        <w:t>Expected value plus controlled upside.</w:t>
      </w:r>
    </w:p>
    <w:p>
      <w:pPr>
        <w:pStyle w:val="ListBullet"/>
      </w:pPr>
      <w:r>
        <w:t>No-transfer is a valid action.</w:t>
      </w:r>
    </w:p>
    <w:p>
      <w:pPr>
        <w:pStyle w:val="ListBullet"/>
      </w:pPr>
      <w:r>
        <w:t>Chips are evaluated through opportunity cost and future value.</w:t>
      </w:r>
    </w:p>
    <w:p>
      <w:pPr>
        <w:pStyle w:val="Heading2"/>
      </w:pPr>
      <w:r>
        <w:t>Product</w:t>
      </w:r>
    </w:p>
    <w:p>
      <w:pPr>
        <w:pStyle w:val="ListBullet"/>
      </w:pPr>
      <w:r>
        <w:t>Persistent conversations plus structured strategic memory.</w:t>
      </w:r>
    </w:p>
    <w:p>
      <w:pPr>
        <w:pStyle w:val="ListBullet"/>
      </w:pPr>
      <w:r>
        <w:t>Proactive approximately three-times-per-GW operating cadence.</w:t>
      </w:r>
    </w:p>
    <w:p>
      <w:pPr>
        <w:pStyle w:val="ListBullet"/>
      </w:pPr>
      <w:r>
        <w:t>Cloud-first mobile/web access.</w:t>
      </w:r>
    </w:p>
    <w:p>
      <w:pPr>
        <w:pStyle w:val="ListBullet"/>
      </w:pPr>
      <w:r>
        <w:t>₹0 additional cost target.</w:t>
      </w:r>
    </w:p>
    <w:p>
      <w:pPr>
        <w:pStyle w:val="Heading2"/>
      </w:pPr>
      <w:r>
        <w:t>Multi-user</w:t>
      </w:r>
    </w:p>
    <w:p>
      <w:pPr>
        <w:pStyle w:val="ListBullet"/>
      </w:pPr>
      <w:r>
        <w:t>Shared global FPL data.</w:t>
      </w:r>
    </w:p>
    <w:p>
      <w:pPr>
        <w:pStyle w:val="ListBullet"/>
      </w:pPr>
      <w:r>
        <w:t>Strictly isolated user-specific state and conversations.</w:t>
      </w:r>
    </w:p>
    <w:p>
      <w:pPr>
        <w:pStyle w:val="ListBullet"/>
      </w:pPr>
      <w:r>
        <w:t>Future login/authentication.</w:t>
      </w:r>
    </w:p>
    <w:p>
      <w:pPr>
        <w:pStyle w:val="Heading1"/>
      </w:pPr>
      <w:bookmarkStart w:id="1003" w:name="IndexTarget1003"/>
      <w:r>
        <w:t>3. v0.8 Thread Reconciliation Record</w:t>
      </w:r>
      <w:bookmarkEnd w:id="1003"/>
    </w:p>
    <w:p>
      <w:r>
        <w:t>This checkpoint was created specifically because the previous v0.7 documentation did not fully capture all material post-v0.5 decisions. The reconciliation reviewed the accumulated project direction represented in the thread and explicitly carried forward the following categories:</w:t>
      </w:r>
    </w:p>
    <w:p>
      <w:pPr>
        <w:pStyle w:val="ListBullet"/>
      </w:pPr>
      <w:r>
        <w:t>Business objective and north-star optimization.</w:t>
      </w:r>
    </w:p>
    <w:p>
      <w:pPr>
        <w:pStyle w:val="ListBullet"/>
      </w:pPr>
      <w:r>
        <w:t>Mini-league payout/rival context versus the single-team universal optimizer.</w:t>
      </w:r>
    </w:p>
    <w:p>
      <w:pPr>
        <w:pStyle w:val="ListBullet"/>
      </w:pPr>
      <w:r>
        <w:t>Persistent conversation/session architecture.</w:t>
      </w:r>
    </w:p>
    <w:p>
      <w:pPr>
        <w:pStyle w:val="ListBullet"/>
      </w:pPr>
      <w:r>
        <w:t>Separate structured strategic memory.</w:t>
      </w:r>
    </w:p>
    <w:p>
      <w:pPr>
        <w:pStyle w:val="ListBullet"/>
      </w:pPr>
      <w:r>
        <w:t>Proactive analysis cadence.</w:t>
      </w:r>
    </w:p>
    <w:p>
      <w:pPr>
        <w:pStyle w:val="ListBullet"/>
      </w:pPr>
      <w:r>
        <w:t>Manager-state re-verification after transfers.</w:t>
      </w:r>
    </w:p>
    <w:p>
      <w:pPr>
        <w:pStyle w:val="ListBullet"/>
      </w:pPr>
      <w:r>
        <w:t>Trust hierarchy, provenance and NO DATA = NO ANSWER.</w:t>
      </w:r>
    </w:p>
    <w:p>
      <w:pPr>
        <w:pStyle w:val="ListBullet"/>
      </w:pPr>
      <w:r>
        <w:t>Risk/upside strategy and controlled differentials.</w:t>
      </w:r>
    </w:p>
    <w:p>
      <w:pPr>
        <w:pStyle w:val="ListBullet"/>
      </w:pPr>
      <w:r>
        <w:t>Chip opportunity map and multi-GW planning.</w:t>
      </w:r>
    </w:p>
    <w:p>
      <w:pPr>
        <w:pStyle w:val="ListBullet"/>
      </w:pPr>
      <w:r>
        <w:t>Dream Team as post-GW evaluation only.</w:t>
      </w:r>
    </w:p>
    <w:p>
      <w:pPr>
        <w:pStyle w:val="ListBullet"/>
      </w:pPr>
      <w:r>
        <w:t>Cloud-first access and ₹0 cost target.</w:t>
      </w:r>
    </w:p>
    <w:p>
      <w:pPr>
        <w:pStyle w:val="ListBullet"/>
      </w:pPr>
      <w:r>
        <w:t>Future multi-user authentication and isolation.</w:t>
      </w:r>
    </w:p>
    <w:p>
      <w:pPr>
        <w:pStyle w:val="ListBullet"/>
      </w:pPr>
      <w:r>
        <w:t>FPL truth-layer architecture and caching/persistence.</w:t>
      </w:r>
    </w:p>
    <w:p>
      <w:pPr>
        <w:pStyle w:val="ListBullet"/>
      </w:pPr>
      <w:r>
        <w:t>Six-season historical dataset and walk-forward windows.</w:t>
      </w:r>
    </w:p>
    <w:p>
      <w:pPr>
        <w:pStyle w:val="ListBullet"/>
      </w:pPr>
      <w:r>
        <w:t>Historical player canonical grain, duplicate validation, NULL policy and postponed-GW handling.</w:t>
      </w:r>
    </w:p>
    <w:p>
      <w:pPr>
        <w:pStyle w:val="ListBullet"/>
      </w:pPr>
      <w:r>
        <w:t>Historical team layer and transparent team-strength layer.</w:t>
      </w:r>
    </w:p>
    <w:p>
      <w:pPr>
        <w:pStyle w:val="ListBullet"/>
      </w:pPr>
      <w:r>
        <w:t>Official FDR benchmark versus independent internal fixture model.</w:t>
      </w:r>
    </w:p>
    <w:p>
      <w:pPr>
        <w:pStyle w:val="ListBullet"/>
      </w:pPr>
      <w:r>
        <w:t>Prediction snapshots, model versions and auditability.</w:t>
      </w:r>
    </w:p>
    <w:p>
      <w:pPr>
        <w:pStyle w:val="ListBullet"/>
      </w:pPr>
      <w:r>
        <w:t>Roadmap ordering after the current implementation checkpoint.</w:t>
      </w:r>
    </w:p>
    <w:p>
      <w:pPr>
        <w:pStyle w:val="ListBullet"/>
      </w:pPr>
      <w:r>
        <w:t>Beginner-friendly coding and Git workflow.</w:t>
      </w:r>
    </w:p>
    <w:p>
      <w:pPr>
        <w:pStyle w:val="Heading1"/>
      </w:pPr>
      <w:bookmarkStart w:id="1004" w:name="IndexTarget1004"/>
      <w:r>
        <w:t>4. Current Implementation Checkpoint</w:t>
      </w:r>
      <w:bookmarkEnd w:id="1004"/>
    </w:p>
    <w:p>
      <w:pPr>
        <w:pStyle w:val="ListBullet"/>
      </w:pPr>
      <w:r>
        <w:t>GitHub commit 1182c23 — Add expected goals baseline and calibration — is the current pre-Historical-Prior baseline checkpoint.</w:t>
      </w:r>
    </w:p>
    <w:p>
      <w:pPr>
        <w:pStyle w:val="ListBullet"/>
      </w:pPr>
      <w:r>
        <w:t>The Historical Prior Layer methodology is now locked at V1; implementation and walk-forward dataset rebuild are the next technical steps.</w:t>
      </w:r>
    </w:p>
    <w:p>
      <w:pPr>
        <w:pStyle w:val="ListBullet"/>
      </w:pPr>
      <w:r>
        <w:t>The current expected-goals baseline and leakage-safe calibration work are treated as the pre-Historical-Prior baseline checkpoint; production parameter selection remains deferred until the state methodology is finalized.</w:t>
      </w:r>
    </w:p>
    <w:p>
      <w:pPr>
        <w:pStyle w:val="ListBullet"/>
      </w:pPr>
      <w:r>
        <w:t>GitHub commit 300c5a0 — Add historical player data ingestion and validation.</w:t>
      </w:r>
    </w:p>
    <w:p>
      <w:pPr>
        <w:pStyle w:val="ListBullet"/>
      </w:pPr>
      <w:r>
        <w:t>team_strength.py completed.</w:t>
      </w:r>
    </w:p>
    <w:p>
      <w:pPr>
        <w:pStyle w:val="ListBullet"/>
      </w:pPr>
      <w:r>
        <w:t>historical_team_data.py completed and validated: 2,280 matches across six seasons.</w:t>
      </w:r>
    </w:p>
    <w:p>
      <w:pPr>
        <w:pStyle w:val="ListBullet"/>
      </w:pPr>
      <w:r>
        <w:t>historical_player_data.py completed and validated: 163,394 canonical player-fixture records.</w:t>
      </w:r>
    </w:p>
    <w:p>
      <w:pPr>
        <w:pStyle w:val="ListBullet"/>
      </w:pPr>
      <w:r>
        <w:t>Known 2025/26 exact duplicates handled.</w:t>
      </w:r>
    </w:p>
    <w:p>
      <w:pPr>
        <w:pStyle w:val="ListBullet"/>
      </w:pPr>
      <w:r>
        <w:t>No unvalidated third-party xG/xA backfill has been introduced into the authoritative historical dataset.</w:t>
      </w:r>
    </w:p>
    <w:p>
      <w:pPr>
        <w:pStyle w:val="Heading2"/>
      </w:pPr>
      <w:r>
        <w:t>4.1 Database Architecture Checkpoint</w:t>
      </w:r>
    </w:p>
    <w:p>
      <w:pPr>
        <w:pStyle w:val="ListBullet"/>
      </w:pPr>
      <w:r>
        <w:t>Latest implementation checkpoint from 28 September 2026: commit 3ba5927 — Add incremental refresh and FPL rules layers; full test suite baseline was 131 passed in 11.21s before database changes.</w:t>
      </w:r>
    </w:p>
    <w:p>
      <w:pPr>
        <w:pStyle w:val="ListBullet"/>
      </w:pPr>
      <w:r>
        <w:t>Incremental refresh and FPL rules/freshness layers are implemented in the JSON-backed prototype and are to be preserved conceptually during SQLite migration.</w:t>
      </w:r>
    </w:p>
    <w:p>
      <w:pPr>
        <w:pStyle w:val="ListBullet"/>
      </w:pPr>
      <w:r>
        <w:t>The SQLite schema and repository foundation are implemented and tested. Batch 18A completed production projection and Batch 18B completed the initial production projection → strategy-orchestrator adapter. Remaining work includes persistence-aware refresh integration, availability/news and Expected Minutes enrichment, and leakage-safe evaluation/calibration.</w:t>
      </w:r>
    </w:p>
    <w:p>
      <w:pPr>
        <w:pStyle w:val="ListBullet"/>
      </w:pPr>
      <w:r>
        <w:t>The database design checkpoint is complete; implementation may now proceed without changing app.py prematurely.</w:t>
      </w:r>
    </w:p>
    <w:p>
      <w:pPr>
        <w:pStyle w:val="ListBullet"/>
      </w:pPr>
      <w:r>
        <w:t>Batch 18A / commit 0905d96: production projection pipeline completed.</w:t>
      </w:r>
    </w:p>
    <w:p>
      <w:pPr>
        <w:pStyle w:val="ListBullet"/>
      </w:pPr>
      <w:r>
        <w:t>Batch 18B / commit ce1c62c: production projection integrated with strategy orchestrator; 18B focused tests and the full local suite were reported passing in the development environment.</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ListBullet"/>
      </w:pPr>
      <w:r>
        <w:t>Decide when prediction snapshots generated by the production projection layer become persistent database records and which snapshot grain is required for reproducible evaluation.</w:t>
      </w:r>
    </w:p>
    <w:p>
      <w:pPr>
        <w:pStyle w:val="ListBullet"/>
      </w:pPr>
      <w:r>
        <w:t>Decide the minimum availability/news and Expected Minutes inputs required before treating production expected points as fully production-calibrated.</w:t>
      </w:r>
    </w:p>
    <w:p>
      <w:pPr>
        <w:pStyle w:val="Heading1"/>
      </w:pPr>
      <w:bookmarkStart w:id="1005" w:name="IndexTarget1005"/>
      <w:r>
        <w:t>5. Next Decisions to Record</w:t>
      </w:r>
      <w:bookmarkEnd w:id="1005"/>
    </w:p>
    <w:p>
      <w:pPr>
        <w:pStyle w:val="ListBullet"/>
      </w:pPr>
      <w:r>
        <w:t>Validate the production projection pipeline end-to-end against historical and walk-forward evaluation; keep historical priors outside production expected-goals inputs until incremental value is demonstrated.</w:t>
      </w:r>
    </w:p>
    <w:p>
      <w:pPr>
        <w:pStyle w:val="ListBullet"/>
      </w:pPr>
      <w:r>
        <w:t>Add unit and real-data validation for historical prior construction, including recency weighting, sample coverage, promoted/no-history handling and strict season boundaries.</w:t>
      </w:r>
    </w:p>
    <w:p>
      <w:pPr>
        <w:pStyle w:val="ListBullet"/>
      </w:pPr>
      <w:r>
        <w:t>Rebuild the walk-forward validation dataset so each test fixture has a leakage-safe historical prior alongside current-season point-in-time state.</w:t>
      </w:r>
    </w:p>
    <w:p>
      <w:pPr>
        <w:pStyle w:val="ListBullet"/>
      </w:pPr>
      <w:r>
        <w:t>Rerun expected-goals evaluation and leakage-safe shrinkage calibration only after the rebuilt dataset is validated.</w:t>
      </w:r>
    </w:p>
    <w:p>
      <w:pPr>
        <w:pStyle w:val="ListBullet"/>
      </w:pPr>
      <w:r>
        <w:t>Decide whether historical priors enter the expected-goals formula only after standalone and integrated walk-forward evidence is available.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v1.1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FPL-Agent — Architecture &amp; Decision Log</dc:title>
  <dc:subject>Living record of modelling, data, architecture, trust and product decisions</dc:subject>
  <dc:creator>python-docx</dc:creator>
  <cp:keywords/>
  <dc:description>Reformatted to standardized four-page front matter; substantive v0.8 content preserved.</dc:description>
  <cp:lastModifiedBy/>
  <cp:revision>1</cp:revision>
  <dcterms:created xsi:type="dcterms:W3CDTF">2013-12-23T23:15:00Z</dcterms:created>
  <dcterms:modified xsi:type="dcterms:W3CDTF">2013-12-23T23:15:00Z</dcterms:modified>
  <cp:category/>
  <cp:version>v0.4</cp:version>
</cp:coreProperties>
</file>