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96"/>
        <w:jc w:val="center"/>
      </w:pPr>
      <w:r>
        <w:rPr>
          <w:b/>
          <w:sz w:val="50"/>
        </w:rPr>
        <w:t>FPL-Agent — Business Requirements Document</w:t>
      </w:r>
    </w:p>
    <w:p>
      <w:pPr>
        <w:spacing w:before="280"/>
        <w:jc w:val="center"/>
      </w:pPr>
      <w:r>
        <w:rPr>
          <w:sz w:val="26"/>
        </w:rPr>
        <w:t>Business requirements, strategic objectives and product scope</w:t>
      </w:r>
    </w:p>
    <w:p>
      <w:pPr>
        <w:spacing w:before="3744"/>
        <w:jc w:val="center"/>
      </w:pPr>
      <w:r>
        <w:rPr>
          <w:i/>
          <w:sz w:val="20"/>
        </w:rPr>
        <w:t>Living Project Documentation</w:t>
      </w:r>
    </w:p>
    <w:p>
      <w:pPr>
        <w:spacing w:before="160"/>
        <w:jc w:val="center"/>
      </w:pPr>
      <w:r>
        <w:t>Document version: v1.5</w:t>
      </w:r>
    </w:p>
    <w:p>
      <w:pPr>
        <w:jc w:val="center"/>
      </w:pPr>
      <w:r>
        <w:t>3 October 2026, current full-history reconciliation checkpoint</w:t>
      </w:r>
    </w:p>
    <w:p>
      <w:r>
        <w:br w:type="page"/>
      </w:r>
    </w:p>
    <w:p>
      <w:pPr>
        <w:pStyle w:val="Heading1"/>
      </w:pPr>
      <w:bookmarkStart w:id="1000" w:name="IndexTarget1000"/>
      <w:r>
        <w:t>Change Log</w:t>
      </w:r>
      <w:bookmarkEnd w:id="1000"/>
    </w:p>
    <w:p>
      <w:pPr>
        <w:spacing w:after="160"/>
      </w:pPr>
      <w:r>
        <w:rPr>
          <w:sz w:val="18"/>
        </w:rPr>
        <w:t>Version history is recorded using IST. Where a historical documentation version could not be mapped to an exact work-session timestamp from the recovered record, no timestamp is invented.</w:t>
      </w:r>
    </w:p>
    <w:tbl>
      <w:tblPr>
        <w:tblStyle w:val="TableGrid"/>
        <w:tblW w:type="auto" w:w="0"/>
        <w:tblLook w:firstColumn="1" w:firstRow="1" w:lastColumn="0" w:lastRow="0" w:noHBand="0" w:noVBand="1" w:val="04A0"/>
      </w:tblPr>
      <w:tblGrid>
        <w:gridCol w:w="3264"/>
        <w:gridCol w:w="3264"/>
        <w:gridCol w:w="3264"/>
        <w:gridCol w:w="1440"/>
        <w:gridCol w:w="1440"/>
        <w:gridCol w:w="1440"/>
      </w:tblGrid>
      <w:tr>
        <w:tc>
          <w:tcPr>
            <w:tcW w:type="dxa" w:w="3264"/>
          </w:tcPr>
          <w:p>
            <w:r>
              <w:t>Date</w:t>
            </w:r>
          </w:p>
        </w:tc>
        <w:tc>
          <w:tcPr>
            <w:tcW w:type="dxa" w:w="3264"/>
          </w:tcPr>
          <w:p>
            <w:r>
              <w:t>Version</w:t>
            </w:r>
          </w:p>
        </w:tc>
        <w:tc>
          <w:tcPr>
            <w:tcW w:type="dxa" w:w="3264"/>
          </w:tcPr>
          <w:p>
            <w:r>
              <w:t>Section</w:t>
            </w:r>
          </w:p>
        </w:tc>
        <w:tc>
          <w:tcPr>
            <w:tcW w:type="dxa" w:w="1440"/>
          </w:tcPr>
          <w:p>
            <w:r>
              <w:t>Sub-section / Point</w:t>
            </w:r>
          </w:p>
        </w:tc>
        <w:tc>
          <w:tcPr>
            <w:tcW w:type="dxa" w:w="1440"/>
          </w:tcPr>
          <w:p>
            <w:r>
              <w:t>Change Type</w:t>
            </w:r>
          </w:p>
        </w:tc>
        <w:tc>
          <w:tcPr>
            <w:tcW w:type="dxa" w:w="1440"/>
          </w:tcPr>
          <w:p>
            <w:r>
              <w:t>Change Description</w:t>
            </w:r>
          </w:p>
        </w:tc>
      </w:tr>
      <w:tr>
        <w:tc>
          <w:tcPr>
            <w:tcW w:type="dxa" w:w="3264"/>
          </w:tcPr>
          <w:p>
            <w:r>
              <w:t>Earlier work-session checkpoints; exact version mapping not independently recoverable</w:t>
            </w:r>
          </w:p>
        </w:tc>
        <w:tc>
          <w:tcPr>
            <w:tcW w:type="dxa" w:w="3264"/>
          </w:tcPr>
          <w:p>
            <w:r>
              <w:t>v0.1–v0.4</w:t>
            </w:r>
          </w:p>
        </w:tc>
        <w:tc>
          <w:tcPr>
            <w:tcW w:type="dxa" w:w="3264"/>
          </w:tcPr>
          <w:p>
            <w:r>
              <w:t>Document history</w:t>
            </w:r>
          </w:p>
        </w:tc>
        <w:tc>
          <w:tcPr>
            <w:tcW w:type="dxa" w:w="1440"/>
          </w:tcPr>
          <w:p>
            <w:r/>
          </w:p>
        </w:tc>
        <w:tc>
          <w:tcPr>
            <w:tcW w:type="dxa" w:w="1440"/>
          </w:tcPr>
          <w:p>
            <w:r>
              <w:t>Historical</w:t>
            </w:r>
          </w:p>
        </w:tc>
        <w:tc>
          <w:tcPr>
            <w:tcW w:type="dxa" w:w="1440"/>
          </w:tcPr>
          <w:p>
            <w:r>
              <w:t>Pre-v0.5 project evolution. Earlier development decisions were incorporated into the synchronized documentation; no version-specific timestamp is invented where the work-session record does not explicitly identify the documentation version.</w:t>
            </w:r>
          </w:p>
        </w:tc>
      </w:tr>
      <w:tr>
        <w:tc>
          <w:tcPr>
            <w:tcW w:type="dxa" w:w="3264"/>
          </w:tcPr>
          <w:p>
            <w:r>
              <w:t>22 September 2026, 21:17:08 IST</w:t>
            </w:r>
          </w:p>
        </w:tc>
        <w:tc>
          <w:tcPr>
            <w:tcW w:type="dxa" w:w="3264"/>
          </w:tcPr>
          <w:p>
            <w:r>
              <w:t>Development checkpoint</w:t>
            </w:r>
          </w:p>
        </w:tc>
        <w:tc>
          <w:tcPr>
            <w:tcW w:type="dxa" w:w="3264"/>
          </w:tcPr>
          <w:p>
            <w:r>
              <w:t>Document history</w:t>
            </w:r>
          </w:p>
        </w:tc>
        <w:tc>
          <w:tcPr>
            <w:tcW w:type="dxa" w:w="1440"/>
          </w:tcPr>
          <w:p>
            <w:r/>
          </w:p>
        </w:tc>
        <w:tc>
          <w:tcPr>
            <w:tcW w:type="dxa" w:w="1440"/>
          </w:tcPr>
          <w:p>
            <w:r>
              <w:t>Historical</w:t>
            </w:r>
          </w:p>
        </w:tc>
        <w:tc>
          <w:tcPr>
            <w:tcW w:type="dxa" w:w="1440"/>
          </w:tcPr>
          <w:p>
            <w:r>
              <w:t>Commit 9dd06da — Add structured player history. This is retained as an explicit pre-v0.5 project checkpoint, without retroactively assigning it to a specific documentation version.</w:t>
            </w:r>
          </w:p>
        </w:tc>
      </w:tr>
      <w:tr>
        <w:tc>
          <w:tcPr>
            <w:tcW w:type="dxa" w:w="3264"/>
          </w:tcPr>
          <w:p>
            <w:r>
              <w:t>24 September 2026, 19:43:54 IST</w:t>
            </w:r>
          </w:p>
        </w:tc>
        <w:tc>
          <w:tcPr>
            <w:tcW w:type="dxa" w:w="3264"/>
          </w:tcPr>
          <w:p>
            <w:r>
              <w:t>v0.5</w:t>
            </w:r>
          </w:p>
        </w:tc>
        <w:tc>
          <w:tcPr>
            <w:tcW w:type="dxa" w:w="3264"/>
          </w:tcPr>
          <w:p>
            <w:r>
              <w:t>Document history</w:t>
            </w:r>
          </w:p>
        </w:tc>
        <w:tc>
          <w:tcPr>
            <w:tcW w:type="dxa" w:w="1440"/>
          </w:tcPr>
          <w:p>
            <w:r/>
          </w:p>
        </w:tc>
        <w:tc>
          <w:tcPr>
            <w:tcW w:type="dxa" w:w="1440"/>
          </w:tcPr>
          <w:p>
            <w:r>
              <w:t>Historical</w:t>
            </w:r>
          </w:p>
        </w:tc>
        <w:tc>
          <w:tcPr>
            <w:tcW w:type="dxa" w:w="1440"/>
          </w:tcPr>
          <w:p>
            <w:r>
              <w:t>Prior synchronized documentation checkpoint.</w:t>
            </w:r>
          </w:p>
        </w:tc>
      </w:tr>
      <w:tr>
        <w:tc>
          <w:tcPr>
            <w:tcW w:type="dxa" w:w="3264"/>
          </w:tcPr>
          <w:p>
            <w:r>
              <w:t>25 September 2026, 01:11:24 IST</w:t>
            </w:r>
          </w:p>
        </w:tc>
        <w:tc>
          <w:tcPr>
            <w:tcW w:type="dxa" w:w="3264"/>
          </w:tcPr>
          <w:p>
            <w:r>
              <w:t>v0.6</w:t>
            </w:r>
          </w:p>
        </w:tc>
        <w:tc>
          <w:tcPr>
            <w:tcW w:type="dxa" w:w="3264"/>
          </w:tcPr>
          <w:p>
            <w:r>
              <w:t>Document history</w:t>
            </w:r>
          </w:p>
        </w:tc>
        <w:tc>
          <w:tcPr>
            <w:tcW w:type="dxa" w:w="1440"/>
          </w:tcPr>
          <w:p>
            <w:r/>
          </w:p>
        </w:tc>
        <w:tc>
          <w:tcPr>
            <w:tcW w:type="dxa" w:w="1440"/>
          </w:tcPr>
          <w:p>
            <w:r>
              <w:t>Historical</w:t>
            </w:r>
          </w:p>
        </w:tc>
        <w:tc>
          <w:tcPr>
            <w:tcW w:type="dxa" w:w="1440"/>
          </w:tcPr>
          <w:p>
            <w:r>
              <w:t>Added historical-data governance, statistical-first forecasting, walk-forward evaluation, project-owned historical retention, research-reference policy, prediction auditability, and the requirement to validate team-level xGC before production use.</w:t>
            </w:r>
          </w:p>
        </w:tc>
      </w:tr>
      <w:tr>
        <w:tc>
          <w:tcPr>
            <w:tcW w:type="dxa" w:w="3264"/>
          </w:tcPr>
          <w:p>
            <w:r>
              <w:t>26 September 2026, 11:33:37 IST</w:t>
            </w:r>
          </w:p>
        </w:tc>
        <w:tc>
          <w:tcPr>
            <w:tcW w:type="dxa" w:w="3264"/>
          </w:tcPr>
          <w:p>
            <w:r>
              <w:t>v0.7</w:t>
            </w:r>
          </w:p>
        </w:tc>
        <w:tc>
          <w:tcPr>
            <w:tcW w:type="dxa" w:w="3264"/>
          </w:tcPr>
          <w:p>
            <w:r>
              <w:t>Document history</w:t>
            </w:r>
          </w:p>
        </w:tc>
        <w:tc>
          <w:tcPr>
            <w:tcW w:type="dxa" w:w="1440"/>
          </w:tcPr>
          <w:p>
            <w:r/>
          </w:p>
        </w:tc>
        <w:tc>
          <w:tcPr>
            <w:tcW w:type="dxa" w:w="1440"/>
          </w:tcPr>
          <w:p>
            <w:r>
              <w:t>Historical</w:t>
            </w:r>
          </w:p>
        </w:tc>
        <w:tc>
          <w:tcPr>
            <w:tcW w:type="dxa" w:w="1440"/>
          </w:tcPr>
          <w:p>
            <w:r>
              <w:t>Added validated historical team/player layers, six-season historical coverage, canonical player-fixture grain, provenance and duplicate handling, FPL-authoritative historical truth, and deferral of secondary underlying-data sources from the core truth layer.</w:t>
            </w:r>
          </w:p>
        </w:tc>
      </w:tr>
      <w:tr>
        <w:tc>
          <w:tcPr>
            <w:tcW w:type="dxa" w:w="3264"/>
          </w:tcPr>
          <w:p>
            <w:r>
              <w:t>26 September 2026, 11:43 IST</w:t>
            </w:r>
          </w:p>
        </w:tc>
        <w:tc>
          <w:tcPr>
            <w:tcW w:type="dxa" w:w="3264"/>
          </w:tcPr>
          <w:p>
            <w:r>
              <w:t>v0.8</w:t>
            </w:r>
          </w:p>
        </w:tc>
        <w:tc>
          <w:tcPr>
            <w:tcW w:type="dxa" w:w="3264"/>
          </w:tcPr>
          <w:p>
            <w:r>
              <w:t>Document history</w:t>
            </w:r>
          </w:p>
        </w:tc>
        <w:tc>
          <w:tcPr>
            <w:tcW w:type="dxa" w:w="1440"/>
          </w:tcPr>
          <w:p>
            <w:r/>
          </w:p>
        </w:tc>
        <w:tc>
          <w:tcPr>
            <w:tcW w:type="dxa" w:w="1440"/>
          </w:tcPr>
          <w:p>
            <w:r>
              <w:t>Historical</w:t>
            </w:r>
          </w:p>
        </w:tc>
        <w:tc>
          <w:tcPr>
            <w:tcW w:type="dxa" w:w="1440"/>
          </w:tcPr>
          <w:p>
            <w:r>
              <w:t>Full thread reconciliation after v0.5. Added/clarified the single-team universal optimizer principle, multi-league context model, persistent conversation/session model, structured strategic memory, proactive three-times-per-GW cadence, cloud/mobile access, ₹0 target, shared-vs-user data isolation, NO DATA = NO ANSWER, authoritative state re-verification after transfers, prediction auditability, risk/upside framing, chip planning, Dream Team evaluation-only use, caching/source architecture, historical walk-forward design, coding workflow constraints, and revised roadmap.</w:t>
            </w:r>
          </w:p>
        </w:tc>
      </w:tr>
      <w:tr>
        <w:tc>
          <w:tcPr>
            <w:tcW w:type="dxa" w:w="3264"/>
          </w:tcPr>
          <w:p>
            <w:r>
              <w:t>26 September 2026, current checkpoint</w:t>
            </w:r>
          </w:p>
        </w:tc>
        <w:tc>
          <w:tcPr>
            <w:tcW w:type="dxa" w:w="3264"/>
          </w:tcPr>
          <w:p>
            <w:r>
              <w:t>v0.9</w:t>
            </w:r>
          </w:p>
        </w:tc>
        <w:tc>
          <w:tcPr>
            <w:tcW w:type="dxa" w:w="3264"/>
          </w:tcPr>
          <w:p>
            <w:r>
              <w:t>Document history</w:t>
            </w:r>
          </w:p>
        </w:tc>
        <w:tc>
          <w:tcPr>
            <w:tcW w:type="dxa" w:w="1440"/>
          </w:tcPr>
          <w:p>
            <w:r/>
          </w:p>
        </w:tc>
        <w:tc>
          <w:tcPr>
            <w:tcW w:type="dxa" w:w="1440"/>
          </w:tcPr>
          <w:p>
            <w:r>
              <w:t>Historical</w:t>
            </w:r>
          </w:p>
        </w:tc>
        <w:tc>
          <w:tcPr>
            <w:tcW w:type="dxa" w:w="1440"/>
          </w:tcPr>
          <w:p>
            <w:r>
              <w:t>Reformatted documentation set with a standardized four-page front matter: title page, Change Log page, Index page, then main content. Corrected recovered historical timestamps and preserved the substantive v0.8 content.</w:t>
            </w:r>
          </w:p>
        </w:tc>
      </w:tr>
      <w:tr>
        <w:tc>
          <w:tcPr>
            <w:tcW w:type="dxa" w:w="3264"/>
          </w:tcPr>
          <w:p>
            <w:r>
              <w:t>27 September 2026</w:t>
            </w:r>
          </w:p>
        </w:tc>
        <w:tc>
          <w:tcPr>
            <w:tcW w:type="dxa" w:w="3264"/>
          </w:tcPr>
          <w:p>
            <w:r>
              <w:t>v1.0</w:t>
            </w:r>
          </w:p>
        </w:tc>
        <w:tc>
          <w:tcPr>
            <w:tcW w:type="dxa" w:w="3264"/>
          </w:tcPr>
          <w:p>
            <w:r>
              <w:t>Document history</w:t>
            </w:r>
          </w:p>
        </w:tc>
        <w:tc>
          <w:tcPr>
            <w:tcW w:type="dxa" w:w="1440"/>
          </w:tcPr>
          <w:p>
            <w:r/>
          </w:p>
        </w:tc>
        <w:tc>
          <w:tcPr>
            <w:tcW w:type="dxa" w:w="1440"/>
          </w:tcPr>
          <w:p>
            <w:r>
              <w:t>Historical</w:t>
            </w:r>
          </w:p>
        </w:tc>
        <w:tc>
          <w:tcPr>
            <w:tcW w:type="dxa" w:w="1440"/>
          </w:tcPr>
          <w:p>
            <w:r>
              <w:t>Documentation checkpoint: formalized separation of current-season point-in-time state from a separate Historical Prior Layer; clarified that recent_5 remains current-season only, promoted/relegated handling requires explicit methodology, and historical priors are not yet fed into the baseline expected-goals formula.</w:t>
            </w:r>
          </w:p>
        </w:tc>
      </w:tr>
      <w:tr>
        <w:tc>
          <w:tcPr>
            <w:tcW w:type="dxa" w:w="3264"/>
          </w:tcPr>
          <w:p>
            <w:r>
              <w:t>27 September 2026 14:25 IST</w:t>
            </w:r>
          </w:p>
        </w:tc>
        <w:tc>
          <w:tcPr>
            <w:tcW w:type="dxa" w:w="3264"/>
          </w:tcPr>
          <w:p>
            <w:r>
              <w:t>v1.1</w:t>
            </w:r>
          </w:p>
        </w:tc>
        <w:tc>
          <w:tcPr>
            <w:tcW w:type="dxa" w:w="3264"/>
          </w:tcPr>
          <w:p>
            <w:r>
              <w:t>Document history</w:t>
            </w:r>
          </w:p>
        </w:tc>
        <w:tc>
          <w:tcPr>
            <w:tcW w:type="dxa" w:w="1440"/>
          </w:tcPr>
          <w:p>
            <w:r/>
          </w:p>
        </w:tc>
        <w:tc>
          <w:tcPr>
            <w:tcW w:type="dxa" w:w="1440"/>
          </w:tcPr>
          <w:p>
            <w:r>
              <w:t>Historical</w:t>
            </w:r>
          </w:p>
        </w:tc>
        <w:tc>
          <w:tcPr>
            <w:tcW w:type="dxa" w:w="1440"/>
          </w:tcPr>
          <w:p>
            <w:r>
              <w:t>Locked the Historical Prior Layer methodology: three-season maximum window, 60%/30%/10% recency baseline, explicit missing/promoted-team handling, sample-size metadata, current-season separation, leakage-safe walk-forward construction and diagnostic-first integration.</w:t>
            </w:r>
          </w:p>
        </w:tc>
      </w:tr>
      <w:tr>
        <w:tc>
          <w:tcPr>
            <w:tcW w:type="dxa" w:w="3264"/>
          </w:tcPr>
          <w:p>
            <w:r>
              <w:t>30 September 2026, 22:19:49 IST</w:t>
            </w:r>
          </w:p>
        </w:tc>
        <w:tc>
          <w:tcPr>
            <w:tcW w:type="dxa" w:w="3264"/>
          </w:tcPr>
          <w:p>
            <w:r>
              <w:t>v1.2</w:t>
            </w:r>
          </w:p>
        </w:tc>
        <w:tc>
          <w:tcPr>
            <w:tcW w:type="dxa" w:w="3264"/>
          </w:tcPr>
          <w:p>
            <w:r>
              <w:t>Document history</w:t>
            </w:r>
          </w:p>
        </w:tc>
        <w:tc>
          <w:tcPr>
            <w:tcW w:type="dxa" w:w="1440"/>
          </w:tcPr>
          <w:p>
            <w:r/>
          </w:p>
        </w:tc>
        <w:tc>
          <w:tcPr>
            <w:tcW w:type="dxa" w:w="1440"/>
          </w:tcPr>
          <w:p>
            <w:r>
              <w:t>Historical</w:t>
            </w:r>
          </w:p>
        </w:tc>
        <w:tc>
          <w:tcPr>
            <w:tcW w:type="dxa" w:w="1440"/>
          </w:tcPr>
          <w:p>
            <w:r>
              <w:t>Integrated the SQLite-first persistence architecture, repository abstraction, current-versus-historical data separation, data lineage/provenance requirements, ingestion/freshness distinction, historical-season promotion rules, and documentation/change-control governance. Updated the project checkpoint and roadmap direction toward schema implementation and persistence.</w:t>
            </w:r>
          </w:p>
        </w:tc>
      </w:tr>
      <w:tr>
        <w:tc>
          <w:tcPr>
            <w:tcW w:type="dxa" w:w="3264"/>
          </w:tcPr>
          <w:p>
            <w:r>
              <w:t>3 October 2026</w:t>
            </w:r>
          </w:p>
        </w:tc>
        <w:tc>
          <w:tcPr>
            <w:tcW w:type="dxa" w:w="3264"/>
          </w:tcPr>
          <w:p>
            <w:r>
              <w:t>v1.4</w:t>
            </w:r>
          </w:p>
        </w:tc>
        <w:tc>
          <w:tcPr>
            <w:tcW w:type="dxa" w:w="3264"/>
          </w:tcPr>
          <w:p>
            <w:r>
              <w:t>Refresh and persistence</w:t>
            </w:r>
          </w:p>
        </w:tc>
        <w:tc>
          <w:tcPr>
            <w:tcW w:type="dxa" w:w="1440"/>
          </w:tcPr>
          <w:p>
            <w:r>
              <w:t>Batch 17A / 502809e — Atomic refresh</w:t>
            </w:r>
          </w:p>
        </w:tc>
        <w:tc>
          <w:tcPr>
            <w:tcW w:type="dxa" w:w="1440"/>
          </w:tcPr>
          <w:p>
            <w:r>
              <w:t>Added</w:t>
            </w:r>
          </w:p>
        </w:tc>
        <w:tc>
          <w:tcPr>
            <w:tcW w:type="dxa" w:w="1440"/>
          </w:tcPr>
          <w:p>
            <w:r>
              <w:t>Made the global refresh write path transactional so canonical season, gameweek, team, player, fixture and player-GW writes commit or roll back together.</w:t>
            </w:r>
          </w:p>
        </w:tc>
      </w:tr>
      <w:tr>
        <w:tc>
          <w:tcPr>
            <w:tcW w:type="dxa" w:w="3264"/>
          </w:tcPr>
          <w:p>
            <w:r>
              <w:t>3 October 2026</w:t>
            </w:r>
          </w:p>
        </w:tc>
        <w:tc>
          <w:tcPr>
            <w:tcW w:type="dxa" w:w="3264"/>
          </w:tcPr>
          <w:p>
            <w:r>
              <w:t>v1.4</w:t>
            </w:r>
          </w:p>
        </w:tc>
        <w:tc>
          <w:tcPr>
            <w:tcW w:type="dxa" w:w="3264"/>
          </w:tcPr>
          <w:p>
            <w:r>
              <w:t>Refresh and persistence</w:t>
            </w:r>
          </w:p>
        </w:tc>
        <w:tc>
          <w:tcPr>
            <w:tcW w:type="dxa" w:w="1440"/>
          </w:tcPr>
          <w:p>
            <w:r>
              <w:t>Batch 17A / 502809e — Ingestion audit boundary</w:t>
            </w:r>
          </w:p>
        </w:tc>
        <w:tc>
          <w:tcPr>
            <w:tcW w:type="dxa" w:w="1440"/>
          </w:tcPr>
          <w:p>
            <w:r>
              <w:t>Added</w:t>
            </w:r>
          </w:p>
        </w:tc>
        <w:tc>
          <w:tcPr>
            <w:tcW w:type="dxa" w:w="1440"/>
          </w:tcPr>
          <w:p>
            <w:r>
              <w:t>Kept ingestion-run creation outside the canonical-data transaction so a failed refresh remains auditable while partial canonical writes are rolled back.</w:t>
            </w:r>
          </w:p>
        </w:tc>
      </w:tr>
      <w:tr>
        <w:tc>
          <w:tcPr>
            <w:tcW w:type="dxa" w:w="3264"/>
          </w:tcPr>
          <w:p>
            <w:r>
              <w:t>3 October 2026</w:t>
            </w:r>
          </w:p>
        </w:tc>
        <w:tc>
          <w:tcPr>
            <w:tcW w:type="dxa" w:w="3264"/>
          </w:tcPr>
          <w:p>
            <w:r>
              <w:t>v1.4</w:t>
            </w:r>
          </w:p>
        </w:tc>
        <w:tc>
          <w:tcPr>
            <w:tcW w:type="dxa" w:w="3264"/>
          </w:tcPr>
          <w:p>
            <w:r>
              <w:t>Refresh and persistence</w:t>
            </w:r>
          </w:p>
        </w:tc>
        <w:tc>
          <w:tcPr>
            <w:tcW w:type="dxa" w:w="1440"/>
          </w:tcPr>
          <w:p>
            <w:r>
              <w:t>Batch 17B / b4c20b1 — Failure after prior success</w:t>
            </w:r>
          </w:p>
        </w:tc>
        <w:tc>
          <w:tcPr>
            <w:tcW w:type="dxa" w:w="1440"/>
          </w:tcPr>
          <w:p>
            <w:r>
              <w:t>Added</w:t>
            </w:r>
          </w:p>
        </w:tc>
        <w:tc>
          <w:tcPr>
            <w:tcW w:type="dxa" w:w="1440"/>
          </w:tcPr>
          <w:p>
            <w:r>
              <w:t>Specified and tested that a failed refresh after a prior successful refresh preserves prior canonical data and the successful freshness state while recording the failed attempt.</w:t>
            </w:r>
          </w:p>
        </w:tc>
      </w:tr>
      <w:tr>
        <w:tc>
          <w:tcPr>
            <w:tcW w:type="dxa" w:w="3264"/>
          </w:tcPr>
          <w:p>
            <w:r>
              <w:t>3 October 2026</w:t>
            </w:r>
          </w:p>
        </w:tc>
        <w:tc>
          <w:tcPr>
            <w:tcW w:type="dxa" w:w="3264"/>
          </w:tcPr>
          <w:p>
            <w:r>
              <w:t>v1.4</w:t>
            </w:r>
          </w:p>
        </w:tc>
        <w:tc>
          <w:tcPr>
            <w:tcW w:type="dxa" w:w="3264"/>
          </w:tcPr>
          <w:p>
            <w:r>
              <w:t>Freshness</w:t>
            </w:r>
          </w:p>
        </w:tc>
        <w:tc>
          <w:tcPr>
            <w:tcW w:type="dxa" w:w="1440"/>
          </w:tcPr>
          <w:p>
            <w:r>
              <w:t>Batch 17B / b4c20b1 — Failed refresh semantics</w:t>
            </w:r>
          </w:p>
        </w:tc>
        <w:tc>
          <w:tcPr>
            <w:tcW w:type="dxa" w:w="1440"/>
          </w:tcPr>
          <w:p>
            <w:r>
              <w:t>Updated</w:t>
            </w:r>
          </w:p>
        </w:tc>
        <w:tc>
          <w:tcPr>
            <w:tcW w:type="dxa" w:w="1440"/>
          </w:tcPr>
          <w:p>
            <w:r>
              <w:t>A failed refresh is recorded as FAILED and freshness becomes STALE rather than silently presenting the old successful refresh as current.</w:t>
            </w:r>
          </w:p>
        </w:tc>
      </w:tr>
      <w:tr>
        <w:tc>
          <w:tcPr>
            <w:tcW w:type="dxa" w:w="3264"/>
          </w:tcPr>
          <w:p>
            <w:r>
              <w:t>3 October 2026</w:t>
            </w:r>
          </w:p>
        </w:tc>
        <w:tc>
          <w:tcPr>
            <w:tcW w:type="dxa" w:w="3264"/>
          </w:tcPr>
          <w:p>
            <w:r>
              <w:t>v1.4</w:t>
            </w:r>
          </w:p>
        </w:tc>
        <w:tc>
          <w:tcPr>
            <w:tcW w:type="dxa" w:w="3264"/>
          </w:tcPr>
          <w:p>
            <w:r>
              <w:t>Refresh and persistence</w:t>
            </w:r>
          </w:p>
        </w:tc>
        <w:tc>
          <w:tcPr>
            <w:tcW w:type="dxa" w:w="1440"/>
          </w:tcPr>
          <w:p>
            <w:r>
              <w:t>Batch 17C / fbacb99 — Idempotency</w:t>
            </w:r>
          </w:p>
        </w:tc>
        <w:tc>
          <w:tcPr>
            <w:tcW w:type="dxa" w:w="1440"/>
          </w:tcPr>
          <w:p>
            <w:r>
              <w:t>Added</w:t>
            </w:r>
          </w:p>
        </w:tc>
        <w:tc>
          <w:tcPr>
            <w:tcW w:type="dxa" w:w="1440"/>
          </w:tcPr>
          <w:p>
            <w:r>
              <w:t>Added regression coverage for repeated identical refreshes, preventing duplicate current/master rows while retaining append-style snapshot history.</w:t>
            </w:r>
          </w:p>
        </w:tc>
      </w:tr>
      <w:tr>
        <w:tc>
          <w:tcPr>
            <w:tcW w:type="dxa" w:w="3264"/>
          </w:tcPr>
          <w:p>
            <w:r>
              <w:t>3 October 2026</w:t>
            </w:r>
          </w:p>
        </w:tc>
        <w:tc>
          <w:tcPr>
            <w:tcW w:type="dxa" w:w="3264"/>
          </w:tcPr>
          <w:p>
            <w:r>
              <w:t>v1.4</w:t>
            </w:r>
          </w:p>
        </w:tc>
        <w:tc>
          <w:tcPr>
            <w:tcW w:type="dxa" w:w="3264"/>
          </w:tcPr>
          <w:p>
            <w:r>
              <w:t>Refresh and persistence</w:t>
            </w:r>
          </w:p>
        </w:tc>
        <w:tc>
          <w:tcPr>
            <w:tcW w:type="dxa" w:w="1440"/>
          </w:tcPr>
          <w:p>
            <w:r>
              <w:t>Batch 17C / fbacb99 — Changed source records</w:t>
            </w:r>
          </w:p>
        </w:tc>
        <w:tc>
          <w:tcPr>
            <w:tcW w:type="dxa" w:w="1440"/>
          </w:tcPr>
          <w:p>
            <w:r>
              <w:t>Added</w:t>
            </w:r>
          </w:p>
        </w:tc>
        <w:tc>
          <w:tcPr>
            <w:tcW w:type="dxa" w:w="1440"/>
          </w:tcPr>
          <w:p>
            <w:r>
              <w:t>Verified that changed player/fixture records update their current/master representation without duplicating the logical current record.</w:t>
            </w:r>
          </w:p>
        </w:tc>
      </w:tr>
      <w:tr>
        <w:tc>
          <w:tcPr>
            <w:tcW w:type="dxa" w:w="3264"/>
          </w:tcPr>
          <w:p>
            <w:r>
              <w:t>3 October 2026</w:t>
            </w:r>
          </w:p>
        </w:tc>
        <w:tc>
          <w:tcPr>
            <w:tcW w:type="dxa" w:w="3264"/>
          </w:tcPr>
          <w:p>
            <w:r>
              <w:t>v1.4</w:t>
            </w:r>
          </w:p>
        </w:tc>
        <w:tc>
          <w:tcPr>
            <w:tcW w:type="dxa" w:w="3264"/>
          </w:tcPr>
          <w:p>
            <w:r>
              <w:t>Freshness</w:t>
            </w:r>
          </w:p>
        </w:tc>
        <w:tc>
          <w:tcPr>
            <w:tcW w:type="dxa" w:w="1440"/>
          </w:tcPr>
          <w:p>
            <w:r>
              <w:t>Batch 17C / fbacb99 — Latest ingestion pointer</w:t>
            </w:r>
          </w:p>
        </w:tc>
        <w:tc>
          <w:tcPr>
            <w:tcW w:type="dxa" w:w="1440"/>
          </w:tcPr>
          <w:p>
            <w:r>
              <w:t>Updated</w:t>
            </w:r>
          </w:p>
        </w:tc>
        <w:tc>
          <w:tcPr>
            <w:tcW w:type="dxa" w:w="1440"/>
          </w:tcPr>
          <w:p>
            <w:r>
              <w:t>Verified that successful repeated refreshes leave dataset freshness associated with the latest successful ingestion.</w:t>
            </w:r>
          </w:p>
        </w:tc>
      </w:tr>
      <w:tr>
        <w:tc>
          <w:tcPr>
            <w:tcW w:type="dxa" w:w="3264"/>
          </w:tcPr>
          <w:p>
            <w:r>
              <w:t>3 October 2026</w:t>
            </w:r>
          </w:p>
        </w:tc>
        <w:tc>
          <w:tcPr>
            <w:tcW w:type="dxa" w:w="3264"/>
          </w:tcPr>
          <w:p>
            <w:r>
              <w:t>v1.4</w:t>
            </w:r>
          </w:p>
        </w:tc>
        <w:tc>
          <w:tcPr>
            <w:tcW w:type="dxa" w:w="3264"/>
          </w:tcPr>
          <w:p>
            <w:r>
              <w:t>Production projection</w:t>
            </w:r>
          </w:p>
        </w:tc>
        <w:tc>
          <w:tcPr>
            <w:tcW w:type="dxa" w:w="1440"/>
          </w:tcPr>
          <w:p>
            <w:r>
              <w:t>Batch 18A / 0905d96 — ProductionProjectionResult</w:t>
            </w:r>
          </w:p>
        </w:tc>
        <w:tc>
          <w:tcPr>
            <w:tcW w:type="dxa" w:w="1440"/>
          </w:tcPr>
          <w:p>
            <w:r>
              <w:t>Added</w:t>
            </w:r>
          </w:p>
        </w:tc>
        <w:tc>
          <w:tcPr>
            <w:tcW w:type="dxa" w:w="1440"/>
          </w:tcPr>
          <w:p>
            <w:r>
              <w:t>Implemented the production multi-gameweek projection pipeline with leakage-safe completed-fixture history, future-fixture selection, team expected goals, player fixture projections, aggregation, completeness and warnings.</w:t>
            </w:r>
          </w:p>
        </w:tc>
      </w:tr>
      <w:tr>
        <w:tc>
          <w:tcPr>
            <w:tcW w:type="dxa" w:w="3264"/>
          </w:tcPr>
          <w:p>
            <w:r>
              <w:t>3 October 2026</w:t>
            </w:r>
          </w:p>
        </w:tc>
        <w:tc>
          <w:tcPr>
            <w:tcW w:type="dxa" w:w="3264"/>
          </w:tcPr>
          <w:p>
            <w:r>
              <w:t>v1.4</w:t>
            </w:r>
          </w:p>
        </w:tc>
        <w:tc>
          <w:tcPr>
            <w:tcW w:type="dxa" w:w="3264"/>
          </w:tcPr>
          <w:p>
            <w:r>
              <w:t>Strategy orchestration</w:t>
            </w:r>
          </w:p>
        </w:tc>
        <w:tc>
          <w:tcPr>
            <w:tcW w:type="dxa" w:w="1440"/>
          </w:tcPr>
          <w:p>
            <w:r>
              <w:t>Batch 18B / ce1c62c — Production projection adapter</w:t>
            </w:r>
          </w:p>
        </w:tc>
        <w:tc>
          <w:tcPr>
            <w:tcW w:type="dxa" w:w="1440"/>
          </w:tcPr>
          <w:p>
            <w:r>
              <w:t>Added</w:t>
            </w:r>
          </w:p>
        </w:tc>
        <w:tc>
          <w:tcPr>
            <w:tcW w:type="dxa" w:w="1440"/>
          </w:tcPr>
          <w:p>
            <w:r>
              <w:t>Connected ProductionProjectionResult to the strategy orchestrator through a production-facing adapter with target/horizon validation and authoritative projection input.</w:t>
            </w:r>
          </w:p>
        </w:tc>
      </w:tr>
      <w:tr>
        <w:tc>
          <w:tcPr>
            <w:tcW w:type="dxa" w:w="3264"/>
          </w:tcPr>
          <w:p>
            <w:r>
              <w:t>3 October 2026</w:t>
            </w:r>
          </w:p>
        </w:tc>
        <w:tc>
          <w:tcPr>
            <w:tcW w:type="dxa" w:w="3264"/>
          </w:tcPr>
          <w:p>
            <w:r>
              <w:t>v1.4</w:t>
            </w:r>
          </w:p>
        </w:tc>
        <w:tc>
          <w:tcPr>
            <w:tcW w:type="dxa" w:w="3264"/>
          </w:tcPr>
          <w:p>
            <w:r>
              <w:t>Strategy orchestration</w:t>
            </w:r>
          </w:p>
        </w:tc>
        <w:tc>
          <w:tcPr>
            <w:tcW w:type="dxa" w:w="1440"/>
          </w:tcPr>
          <w:p>
            <w:r>
              <w:t>Batch 18B / ce1c62c — Version compatibility</w:t>
            </w:r>
          </w:p>
        </w:tc>
        <w:tc>
          <w:tcPr>
            <w:tcW w:type="dxa" w:w="1440"/>
          </w:tcPr>
          <w:p>
            <w:r>
              <w:t>Added</w:t>
            </w:r>
          </w:p>
        </w:tc>
        <w:tc>
          <w:tcPr>
            <w:tcW w:type="dxa" w:w="1440"/>
          </w:tcPr>
          <w:p>
            <w:r>
              <w:t>Preserved legacy build_strategic_decision() engine version v1_2 while assigning production-integrated decisions to strategy_orchestrator_v1_3.</w:t>
            </w:r>
          </w:p>
        </w:tc>
      </w:tr>
      <w:tr>
        <w:tc>
          <w:tcPr>
            <w:tcW w:type="dxa" w:w="3264"/>
          </w:tcPr>
          <w:p>
            <w:r>
              <w:t>3 October 2026</w:t>
            </w:r>
          </w:p>
        </w:tc>
        <w:tc>
          <w:tcPr>
            <w:tcW w:type="dxa" w:w="3264"/>
          </w:tcPr>
          <w:p>
            <w:r>
              <w:t>v1.4</w:t>
            </w:r>
          </w:p>
        </w:tc>
        <w:tc>
          <w:tcPr>
            <w:tcW w:type="dxa" w:w="3264"/>
          </w:tcPr>
          <w:p>
            <w:r>
              <w:t>Trust and audit</w:t>
            </w:r>
          </w:p>
        </w:tc>
        <w:tc>
          <w:tcPr>
            <w:tcW w:type="dxa" w:w="1440"/>
          </w:tcPr>
          <w:p>
            <w:r>
              <w:t>Batch 18B / ce1c62c — Completeness and warnings</w:t>
            </w:r>
          </w:p>
        </w:tc>
        <w:tc>
          <w:tcPr>
            <w:tcW w:type="dxa" w:w="1440"/>
          </w:tcPr>
          <w:p>
            <w:r>
              <w:t>Updated</w:t>
            </w:r>
          </w:p>
        </w:tc>
        <w:tc>
          <w:tcPr>
            <w:tcW w:type="dxa" w:w="1440"/>
          </w:tcPr>
          <w:p>
            <w:r>
              <w:t>Propagated production projection completeness and warnings into StrategicDecision and retained the projection model version for auditability.</w:t>
            </w:r>
          </w:p>
        </w:tc>
      </w:tr>
      <w:tr>
        <w:tc>
          <w:tcPr>
            <w:tcW w:type="dxa" w:w="3264"/>
            <w:vAlign w:val="center"/>
          </w:tcPr>
          <w:p>
            <w:r/>
            <w:r>
              <w:rPr>
                <w:b w:val="0"/>
                <w:sz w:val="16"/>
              </w:rPr>
              <w:t>3 October 2026</w:t>
            </w:r>
          </w:p>
        </w:tc>
        <w:tc>
          <w:tcPr>
            <w:tcW w:type="dxa" w:w="3264"/>
            <w:vAlign w:val="center"/>
          </w:tcPr>
          <w:p>
            <w:r>
              <w:t>v1.5</w:t>
            </w:r>
          </w:p>
        </w:tc>
        <w:tc>
          <w:tcPr>
            <w:tcW w:type="dxa" w:w="3264"/>
            <w:vAlign w:val="center"/>
          </w:tcPr>
          <w:p>
            <w:r/>
            <w:r>
              <w:rPr>
                <w:b w:val="0"/>
                <w:sz w:val="16"/>
              </w:rPr>
              <w:t>Project evolution</w:t>
            </w:r>
          </w:p>
        </w:tc>
        <w:tc>
          <w:tcPr>
            <w:tcW w:type="dxa" w:w="1440"/>
            <w:vAlign w:val="center"/>
          </w:tcPr>
          <w:p>
            <w:r/>
            <w:r>
              <w:rPr>
                <w:b w:val="0"/>
                <w:sz w:val="16"/>
              </w:rPr>
              <w:t>Batch 1–18 reconciliation</w:t>
            </w:r>
          </w:p>
        </w:tc>
        <w:tc>
          <w:tcPr>
            <w:tcW w:type="dxa" w:w="1440"/>
            <w:vAlign w:val="center"/>
          </w:tcPr>
          <w:p>
            <w:r/>
            <w:r>
              <w:rPr>
                <w:b w:val="0"/>
                <w:sz w:val="16"/>
              </w:rPr>
              <w:t>Updated</w:t>
            </w:r>
          </w:p>
        </w:tc>
        <w:tc>
          <w:tcPr>
            <w:tcW w:type="dxa" w:w="1440"/>
            <w:vAlign w:val="center"/>
          </w:tcPr>
          <w:p>
            <w:r/>
            <w:r>
              <w:rPr>
                <w:b w:val="0"/>
                <w:sz w:val="16"/>
              </w:rPr>
              <w:t>Expanded the documentation history from the 30 September checkpoint to include the full implementation evolution from SQLite schema foundation through production projection/orchestrator integration.</w:t>
            </w:r>
          </w:p>
        </w:tc>
      </w:tr>
      <w:tr>
        <w:tc>
          <w:tcPr>
            <w:tcW w:type="dxa" w:w="3264"/>
            <w:vAlign w:val="center"/>
          </w:tcPr>
          <w:p>
            <w:r/>
            <w:r>
              <w:rPr>
                <w:b w:val="0"/>
                <w:sz w:val="16"/>
              </w:rPr>
              <w:t>3 October 2026</w:t>
            </w:r>
          </w:p>
        </w:tc>
        <w:tc>
          <w:tcPr>
            <w:tcW w:type="dxa" w:w="3264"/>
            <w:vAlign w:val="center"/>
          </w:tcPr>
          <w:p>
            <w:r>
              <w:t>v1.5</w:t>
            </w:r>
          </w:p>
        </w:tc>
        <w:tc>
          <w:tcPr>
            <w:tcW w:type="dxa" w:w="3264"/>
            <w:vAlign w:val="center"/>
          </w:tcPr>
          <w:p>
            <w:r/>
            <w:r>
              <w:rPr>
                <w:b w:val="0"/>
                <w:sz w:val="16"/>
              </w:rPr>
              <w:t>Architecture</w:t>
            </w:r>
          </w:p>
        </w:tc>
        <w:tc>
          <w:tcPr>
            <w:tcW w:type="dxa" w:w="1440"/>
            <w:vAlign w:val="center"/>
          </w:tcPr>
          <w:p>
            <w:r/>
            <w:r>
              <w:rPr>
                <w:b w:val="0"/>
                <w:sz w:val="16"/>
              </w:rPr>
              <w:t>Cross-cutting decision reconciliation</w:t>
            </w:r>
          </w:p>
        </w:tc>
        <w:tc>
          <w:tcPr>
            <w:tcW w:type="dxa" w:w="1440"/>
            <w:vAlign w:val="center"/>
          </w:tcPr>
          <w:p>
            <w:r/>
            <w:r>
              <w:rPr>
                <w:b w:val="0"/>
                <w:sz w:val="16"/>
              </w:rPr>
              <w:t>Updated</w:t>
            </w:r>
          </w:p>
        </w:tc>
        <w:tc>
          <w:tcPr>
            <w:tcW w:type="dxa" w:w="1440"/>
            <w:vAlign w:val="center"/>
          </w:tcPr>
          <w:p>
            <w:r/>
            <w:r>
              <w:rPr>
                <w:b w:val="0"/>
                <w:sz w:val="16"/>
              </w:rPr>
              <w:t>Reconciled truth, historical governance, statistical-first modelling, point-in-time state, refresh/freshness, persistence, lineage, universal optimizer, memory separation, evaluation, chips, Dream Team, multi-user and deployment decisions.</w:t>
            </w:r>
          </w:p>
        </w:tc>
      </w:tr>
      <w:tr>
        <w:tc>
          <w:tcPr>
            <w:tcW w:type="dxa" w:w="3264"/>
            <w:vAlign w:val="center"/>
          </w:tcPr>
          <w:p>
            <w:r/>
            <w:r>
              <w:rPr>
                <w:b w:val="0"/>
                <w:sz w:val="16"/>
              </w:rPr>
              <w:t>3 October 2026</w:t>
            </w:r>
          </w:p>
        </w:tc>
        <w:tc>
          <w:tcPr>
            <w:tcW w:type="dxa" w:w="3264"/>
            <w:vAlign w:val="center"/>
          </w:tcPr>
          <w:p>
            <w:r>
              <w:t>v1.5</w:t>
            </w:r>
          </w:p>
        </w:tc>
        <w:tc>
          <w:tcPr>
            <w:tcW w:type="dxa" w:w="3264"/>
            <w:vAlign w:val="center"/>
          </w:tcPr>
          <w:p>
            <w:r/>
            <w:r>
              <w:rPr>
                <w:b w:val="0"/>
                <w:sz w:val="16"/>
              </w:rPr>
              <w:t>Traceability</w:t>
            </w:r>
          </w:p>
        </w:tc>
        <w:tc>
          <w:tcPr>
            <w:tcW w:type="dxa" w:w="1440"/>
            <w:vAlign w:val="center"/>
          </w:tcPr>
          <w:p>
            <w:r/>
            <w:r>
              <w:rPr>
                <w:b w:val="0"/>
                <w:sz w:val="16"/>
              </w:rPr>
              <w:t>Batch-to-document mapping</w:t>
            </w:r>
          </w:p>
        </w:tc>
        <w:tc>
          <w:tcPr>
            <w:tcW w:type="dxa" w:w="1440"/>
            <w:vAlign w:val="center"/>
          </w:tcPr>
          <w:p>
            <w:r/>
            <w:r>
              <w:rPr>
                <w:b w:val="0"/>
                <w:sz w:val="16"/>
              </w:rPr>
              <w:t>Added</w:t>
            </w:r>
          </w:p>
        </w:tc>
        <w:tc>
          <w:tcPr>
            <w:tcW w:type="dxa" w:w="1440"/>
            <w:vAlign w:val="center"/>
          </w:tcPr>
          <w:p>
            <w:r/>
            <w:r>
              <w:rPr>
                <w:b w:val="0"/>
                <w:sz w:val="16"/>
              </w:rPr>
              <w:t>Added explicit mapping from each implementation batch to affected functional, technical, data-model, lineage and architecture concerns.</w:t>
            </w:r>
          </w:p>
        </w:tc>
      </w:tr>
    </w:tbl>
    <w:p>
      <w:r>
        <w:br w:type="page"/>
      </w:r>
    </w:p>
    <w:p>
      <w:pPr>
        <w:pStyle w:val="Heading1"/>
      </w:pPr>
      <w:r>
        <w:t>Index</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tcPr>
          <w:p>
            <w:r>
              <w:rPr>
                <w:b/>
              </w:rPr>
              <w:t>Sr. No.</w:t>
            </w:r>
          </w:p>
        </w:tc>
        <w:tc>
          <w:tcPr>
            <w:tcW w:type="dxa" w:w="3264"/>
          </w:tcPr>
          <w:p>
            <w:r>
              <w:rPr>
                <w:b/>
              </w:rPr>
              <w:t>Title</w:t>
            </w:r>
          </w:p>
        </w:tc>
        <w:tc>
          <w:tcPr>
            <w:tcW w:type="dxa" w:w="3264"/>
          </w:tcPr>
          <w:p>
            <w:r>
              <w:rPr>
                <w:b/>
              </w:rPr>
              <w:t>Page No.</w:t>
            </w:r>
          </w:p>
        </w:tc>
      </w:tr>
      <w:tr>
        <w:tc>
          <w:tcPr>
            <w:tcW w:type="dxa" w:w="3264"/>
          </w:tcPr>
          <w:p>
            <w:r>
              <w:t>1</w:t>
            </w:r>
          </w:p>
        </w:tc>
        <w:tc>
          <w:tcPr>
            <w:tcW w:type="dxa" w:w="3264"/>
          </w:tcPr>
          <w:p>
            <w:r>
              <w:t>Change Log</w:t>
            </w:r>
          </w:p>
        </w:tc>
        <w:tc>
          <w:tcPr>
            <w:tcW w:type="dxa" w:w="3264"/>
          </w:tcPr>
          <w:p>
            <w:r>
              <w:t>2</w:t>
            </w:r>
          </w:p>
        </w:tc>
      </w:tr>
      <w:tr>
        <w:tc>
          <w:tcPr>
            <w:tcW w:type="dxa" w:w="3264"/>
          </w:tcPr>
          <w:p>
            <w:r>
              <w:t>2</w:t>
            </w:r>
          </w:p>
        </w:tc>
        <w:tc>
          <w:tcPr>
            <w:tcW w:type="dxa" w:w="3264"/>
          </w:tcPr>
          <w:p>
            <w:r>
              <w:t>1. Document Purpose</w:t>
            </w:r>
          </w:p>
        </w:tc>
        <w:tc>
          <w:tcPr>
            <w:tcW w:type="dxa" w:w="3264"/>
          </w:tcPr>
          <w:p>
            <w:r>
              <w:t>4</w:t>
            </w:r>
          </w:p>
        </w:tc>
      </w:tr>
      <w:tr>
        <w:tc>
          <w:tcPr>
            <w:tcW w:type="dxa" w:w="3264"/>
          </w:tcPr>
          <w:p>
            <w:r>
              <w:t>3</w:t>
            </w:r>
          </w:p>
        </w:tc>
        <w:tc>
          <w:tcPr>
            <w:tcW w:type="dxa" w:w="3264"/>
          </w:tcPr>
          <w:p>
            <w:r>
              <w:t>2. Business Objective and North Star</w:t>
            </w:r>
          </w:p>
        </w:tc>
        <w:tc>
          <w:tcPr>
            <w:tcW w:type="dxa" w:w="3264"/>
          </w:tcPr>
          <w:p>
            <w:r>
              <w:t>5</w:t>
            </w:r>
          </w:p>
        </w:tc>
      </w:tr>
      <w:tr>
        <w:tc>
          <w:tcPr>
            <w:tcW w:type="dxa" w:w="3264"/>
          </w:tcPr>
          <w:p>
            <w:r>
              <w:t>4</w:t>
            </w:r>
          </w:p>
        </w:tc>
        <w:tc>
          <w:tcPr>
            <w:tcW w:type="dxa" w:w="3264"/>
          </w:tcPr>
          <w:p>
            <w:r>
              <w:t>3. Strategic Principles</w:t>
            </w:r>
          </w:p>
        </w:tc>
        <w:tc>
          <w:tcPr>
            <w:tcW w:type="dxa" w:w="3264"/>
          </w:tcPr>
          <w:p>
            <w:r>
              <w:t>4</w:t>
            </w:r>
          </w:p>
        </w:tc>
      </w:tr>
      <w:tr>
        <w:tc>
          <w:tcPr>
            <w:tcW w:type="dxa" w:w="3264"/>
          </w:tcPr>
          <w:p>
            <w:r>
              <w:t>5</w:t>
            </w:r>
          </w:p>
        </w:tc>
        <w:tc>
          <w:tcPr>
            <w:tcW w:type="dxa" w:w="3264"/>
          </w:tcPr>
          <w:p>
            <w:r>
              <w:t>4. User Experience and Operating Model</w:t>
            </w:r>
          </w:p>
        </w:tc>
        <w:tc>
          <w:tcPr>
            <w:tcW w:type="dxa" w:w="3264"/>
          </w:tcPr>
          <w:p>
            <w:r>
              <w:t>5</w:t>
            </w:r>
          </w:p>
        </w:tc>
      </w:tr>
      <w:tr>
        <w:tc>
          <w:tcPr>
            <w:tcW w:type="dxa" w:w="3264"/>
          </w:tcPr>
          <w:p>
            <w:r>
              <w:t>6</w:t>
            </w:r>
          </w:p>
        </w:tc>
        <w:tc>
          <w:tcPr>
            <w:tcW w:type="dxa" w:w="3264"/>
          </w:tcPr>
          <w:p>
            <w:r>
              <w:t>5. Core Strategic Capabilities</w:t>
            </w:r>
          </w:p>
        </w:tc>
        <w:tc>
          <w:tcPr>
            <w:tcW w:type="dxa" w:w="3264"/>
          </w:tcPr>
          <w:p>
            <w:r>
              <w:t>4</w:t>
            </w:r>
          </w:p>
        </w:tc>
      </w:tr>
      <w:tr>
        <w:tc>
          <w:tcPr>
            <w:tcW w:type="dxa" w:w="3264"/>
          </w:tcPr>
          <w:p>
            <w:r>
              <w:t>7</w:t>
            </w:r>
          </w:p>
        </w:tc>
        <w:tc>
          <w:tcPr>
            <w:tcW w:type="dxa" w:w="3264"/>
          </w:tcPr>
          <w:p>
            <w:r>
              <w:t>6. Mini-Leagues, Rivals and Prize Structures</w:t>
            </w:r>
          </w:p>
        </w:tc>
        <w:tc>
          <w:tcPr>
            <w:tcW w:type="dxa" w:w="3264"/>
          </w:tcPr>
          <w:p>
            <w:r>
              <w:t>6</w:t>
            </w:r>
          </w:p>
        </w:tc>
      </w:tr>
      <w:tr>
        <w:tc>
          <w:tcPr>
            <w:tcW w:type="dxa" w:w="3264"/>
          </w:tcPr>
          <w:p>
            <w:r>
              <w:t>8</w:t>
            </w:r>
          </w:p>
        </w:tc>
        <w:tc>
          <w:tcPr>
            <w:tcW w:type="dxa" w:w="3264"/>
          </w:tcPr>
          <w:p>
            <w:r>
              <w:t>7. Prediction, Fixture and Expected-Points Direction</w:t>
            </w:r>
          </w:p>
        </w:tc>
        <w:tc>
          <w:tcPr>
            <w:tcW w:type="dxa" w:w="3264"/>
          </w:tcPr>
          <w:p>
            <w:r>
              <w:t>6</w:t>
            </w:r>
          </w:p>
        </w:tc>
      </w:tr>
      <w:tr>
        <w:tc>
          <w:tcPr>
            <w:tcW w:type="dxa" w:w="3264"/>
          </w:tcPr>
          <w:p>
            <w:r>
              <w:t>9</w:t>
            </w:r>
          </w:p>
        </w:tc>
        <w:tc>
          <w:tcPr>
            <w:tcW w:type="dxa" w:w="3264"/>
          </w:tcPr>
          <w:p>
            <w:r>
              <w:t>8. Data Trust and Provenance</w:t>
            </w:r>
          </w:p>
        </w:tc>
        <w:tc>
          <w:tcPr>
            <w:tcW w:type="dxa" w:w="3264"/>
          </w:tcPr>
          <w:p>
            <w:r>
              <w:t>4</w:t>
            </w:r>
          </w:p>
        </w:tc>
      </w:tr>
      <w:tr>
        <w:tc>
          <w:tcPr>
            <w:tcW w:type="dxa" w:w="3264"/>
          </w:tcPr>
          <w:p>
            <w:r>
              <w:t>10</w:t>
            </w:r>
          </w:p>
        </w:tc>
        <w:tc>
          <w:tcPr>
            <w:tcW w:type="dxa" w:w="3264"/>
          </w:tcPr>
          <w:p>
            <w:r>
              <w:t>9. Historical Data and Source Governance</w:t>
            </w:r>
          </w:p>
        </w:tc>
        <w:tc>
          <w:tcPr>
            <w:tcW w:type="dxa" w:w="3264"/>
          </w:tcPr>
          <w:p>
            <w:r>
              <w:t>7</w:t>
            </w:r>
          </w:p>
        </w:tc>
      </w:tr>
      <w:tr>
        <w:tc>
          <w:tcPr>
            <w:tcW w:type="dxa" w:w="3264"/>
          </w:tcPr>
          <w:p>
            <w:r>
              <w:t>11</w:t>
            </w:r>
          </w:p>
        </w:tc>
        <w:tc>
          <w:tcPr>
            <w:tcW w:type="dxa" w:w="3264"/>
          </w:tcPr>
          <w:p>
            <w:r>
              <w:t>10. Learning and Evaluation</w:t>
            </w:r>
          </w:p>
        </w:tc>
        <w:tc>
          <w:tcPr>
            <w:tcW w:type="dxa" w:w="3264"/>
          </w:tcPr>
          <w:p>
            <w:r>
              <w:t>4</w:t>
            </w:r>
          </w:p>
        </w:tc>
      </w:tr>
      <w:tr>
        <w:tc>
          <w:tcPr>
            <w:tcW w:type="dxa" w:w="3264"/>
          </w:tcPr>
          <w:p>
            <w:r>
              <w:t>12</w:t>
            </w:r>
          </w:p>
        </w:tc>
        <w:tc>
          <w:tcPr>
            <w:tcW w:type="dxa" w:w="3264"/>
          </w:tcPr>
          <w:p>
            <w:r>
              <w:t>11. Cost and Deployment Constraints</w:t>
            </w:r>
          </w:p>
        </w:tc>
        <w:tc>
          <w:tcPr>
            <w:tcW w:type="dxa" w:w="3264"/>
          </w:tcPr>
          <w:p>
            <w:r>
              <w:t>8</w:t>
            </w:r>
          </w:p>
        </w:tc>
      </w:tr>
      <w:tr>
        <w:tc>
          <w:tcPr>
            <w:tcW w:type="dxa" w:w="3264"/>
          </w:tcPr>
          <w:p>
            <w:r>
              <w:t>13</w:t>
            </w:r>
          </w:p>
        </w:tc>
        <w:tc>
          <w:tcPr>
            <w:tcW w:type="dxa" w:w="3264"/>
          </w:tcPr>
          <w:p>
            <w:r>
              <w:t>12. Multi-User Direction</w:t>
            </w:r>
          </w:p>
        </w:tc>
        <w:tc>
          <w:tcPr>
            <w:tcW w:type="dxa" w:w="3264"/>
          </w:tcPr>
          <w:p>
            <w:r>
              <w:t>4</w:t>
            </w:r>
          </w:p>
        </w:tc>
      </w:tr>
      <w:tr>
        <w:tc>
          <w:tcPr>
            <w:tcW w:type="dxa" w:w="3264"/>
          </w:tcPr>
          <w:p>
            <w:r>
              <w:t>14</w:t>
            </w:r>
          </w:p>
        </w:tc>
        <w:tc>
          <w:tcPr>
            <w:tcW w:type="dxa" w:w="3264"/>
          </w:tcPr>
          <w:p>
            <w:r>
              <w:t>13. Current Development Checkpoint</w:t>
            </w:r>
          </w:p>
        </w:tc>
        <w:tc>
          <w:tcPr>
            <w:tcW w:type="dxa" w:w="3264"/>
          </w:tcPr>
          <w:p>
            <w:r>
              <w:t>9</w:t>
            </w:r>
          </w:p>
        </w:tc>
      </w:tr>
      <w:tr>
        <w:tc>
          <w:tcPr>
            <w:tcW w:type="dxa" w:w="3264"/>
          </w:tcPr>
          <w:p>
            <w:r>
              <w:t>15</w:t>
            </w:r>
          </w:p>
        </w:tc>
        <w:tc>
          <w:tcPr>
            <w:tcW w:type="dxa" w:w="3264"/>
          </w:tcPr>
          <w:p>
            <w:r>
              <w:t>13.1 Database Architecture Checkpoint</w:t>
            </w:r>
          </w:p>
        </w:tc>
        <w:tc>
          <w:tcPr>
            <w:tcW w:type="dxa" w:w="3264"/>
          </w:tcPr>
          <w:p>
            <w:r>
              <w:t>9</w:t>
            </w:r>
          </w:p>
        </w:tc>
      </w:tr>
      <w:tr>
        <w:tc>
          <w:tcPr>
            <w:tcW w:type="dxa" w:w="3264"/>
          </w:tcPr>
          <w:p>
            <w:r>
              <w:t>16</w:t>
            </w:r>
          </w:p>
        </w:tc>
        <w:tc>
          <w:tcPr>
            <w:tcW w:type="dxa" w:w="3264"/>
          </w:tcPr>
          <w:p>
            <w:r>
              <w:t>14. Development Working Agreement</w:t>
            </w:r>
          </w:p>
        </w:tc>
        <w:tc>
          <w:tcPr>
            <w:tcW w:type="dxa" w:w="3264"/>
          </w:tcPr>
          <w:p>
            <w:r>
              <w:t>9</w:t>
            </w:r>
          </w:p>
        </w:tc>
      </w:tr>
      <w:tr>
        <w:tc>
          <w:tcPr>
            <w:tcW w:type="dxa" w:w="3264"/>
          </w:tcPr>
          <w:p>
            <w:r>
              <w:t>17</w:t>
            </w:r>
          </w:p>
        </w:tc>
        <w:tc>
          <w:tcPr>
            <w:tcW w:type="dxa" w:w="3264"/>
          </w:tcPr>
          <w:p>
            <w:r>
              <w:t>15. Thread Reconciliation — v0.8</w:t>
            </w:r>
          </w:p>
        </w:tc>
        <w:tc>
          <w:tcPr>
            <w:tcW w:type="dxa" w:w="3264"/>
          </w:tcPr>
          <w:p>
            <w:r>
              <w:t>4</w:t>
            </w:r>
          </w:p>
        </w:tc>
      </w:tr>
      <w:tr>
        <w:tc>
          <w:tcPr>
            <w:tcW w:type="dxa" w:w="3264"/>
          </w:tcPr>
          <w:p>
            <w:r>
              <w:t>18</w:t>
            </w:r>
          </w:p>
        </w:tc>
        <w:tc>
          <w:tcPr>
            <w:tcW w:type="dxa" w:w="3264"/>
          </w:tcPr>
          <w:p>
            <w:r>
              <w:t>16. Roadmap</w:t>
            </w:r>
          </w:p>
        </w:tc>
        <w:tc>
          <w:tcPr>
            <w:tcW w:type="dxa" w:w="3264"/>
          </w:tcPr>
          <w:p>
            <w:r>
              <w:t>4</w:t>
            </w:r>
          </w:p>
        </w:tc>
      </w:tr>
      <w:tr>
        <w:tc>
          <w:tcPr>
            <w:tcW w:type="dxa" w:w="3264"/>
          </w:tcPr>
          <w:p>
            <w:r>
              <w:t>19</w:t>
            </w:r>
          </w:p>
        </w:tc>
        <w:tc>
          <w:tcPr>
            <w:tcW w:type="dxa" w:w="3264"/>
          </w:tcPr>
          <w:p>
            <w:r>
              <w:t>16.1 Persistence and Database Foundation</w:t>
            </w:r>
          </w:p>
        </w:tc>
        <w:tc>
          <w:tcPr>
            <w:tcW w:type="dxa" w:w="3264"/>
          </w:tcPr>
          <w:p>
            <w:r>
              <w:t>10</w:t>
            </w:r>
          </w:p>
        </w:tc>
      </w:tr>
      <w:tr>
        <w:tc>
          <w:tcPr>
            <w:tcW w:type="dxa" w:w="3264"/>
          </w:tcPr>
          <w:p>
            <w:r>
              <w:t>20</w:t>
            </w:r>
          </w:p>
        </w:tc>
        <w:tc>
          <w:tcPr>
            <w:tcW w:type="dxa" w:w="3264"/>
          </w:tcPr>
          <w:p>
            <w:r>
              <w:t>Documentation Governance and Change Control</w:t>
            </w:r>
          </w:p>
        </w:tc>
        <w:tc>
          <w:tcPr>
            <w:tcW w:type="dxa" w:w="3264"/>
          </w:tcPr>
          <w:p>
            <w:r>
              <w:t>10</w:t>
            </w:r>
          </w:p>
        </w:tc>
      </w:tr>
      <w:tr>
        <w:tc>
          <w:tcPr>
            <w:tcW w:type="dxa" w:w="3264"/>
          </w:tcPr>
          <w:p>
            <w:r>
              <w:t>21</w:t>
            </w:r>
          </w:p>
        </w:tc>
        <w:tc>
          <w:tcPr>
            <w:tcW w:type="dxa" w:w="3264"/>
          </w:tcPr>
          <w:p>
            <w:r>
              <w:t>17. Post-83f3069 Implementation Checkpoint</w:t>
            </w:r>
          </w:p>
        </w:tc>
        <w:tc>
          <w:tcPr>
            <w:tcW w:type="dxa" w:w="3264"/>
          </w:tcPr>
          <w:p>
            <w:r>
              <w:t>12</w:t>
            </w:r>
          </w:p>
        </w:tc>
      </w:tr>
    </w:tbl>
    <w:p/>
    <w:p/>
    <w:p/>
    <w:p/>
    <w:p/>
    <w:p/>
    <w:p/>
    <w:p>
      <w:r>
        <w:br w:type="page"/>
      </w:r>
    </w:p>
    <w:p>
      <w:pPr>
        <w:pStyle w:val="Heading1"/>
      </w:pPr>
      <w:r>
        <w:t>17. Post-83f3069 Implementation Checkpoint — Persistence Reliability and Production Integration</w:t>
      </w:r>
    </w:p>
    <w:p>
      <w:pPr>
        <w:spacing w:after="120"/>
      </w:pPr>
      <w:r>
        <w:t>Commit 83f3069 was the last documentation checkpoint. The implementation delta from that checkpoint through ce1c62c contains three persistence-refresh hardening stages followed by the production projection and strategy-orchestrator bridge.</w:t>
      </w:r>
    </w:p>
    <w:p>
      <w:pPr>
        <w:pStyle w:val="Heading2"/>
      </w:pPr>
      <w:r>
        <w:t>17.1 Refresh reliability and data trust</w:t>
      </w:r>
    </w:p>
    <w:p>
      <w:pPr>
        <w:spacing w:after="120"/>
      </w:pPr>
      <w:r>
        <w:t>The business requirement is not merely to persist data, but to ensure a refresh cannot leave the strategist in a partially refreshed canonical state.</w:t>
      </w:r>
    </w:p>
    <w:p>
      <w:pPr>
        <w:pStyle w:val="ListBullet"/>
      </w:pPr>
      <w:r>
        <w:t>Batch 17A (502809e) makes global refresh atomic for canonical data writes.</w:t>
      </w:r>
    </w:p>
    <w:p>
      <w:pPr>
        <w:pStyle w:val="ListBullet"/>
      </w:pPr>
      <w:r>
        <w:t>Ingestion execution remains auditable even when the canonical write transaction fails.</w:t>
      </w:r>
    </w:p>
    <w:p>
      <w:pPr>
        <w:pStyle w:val="ListBullet"/>
      </w:pPr>
      <w:r>
        <w:t>Batch 17B (b4c20b1) defines the user-visible trust state after a failed refresh: the failed attempt is retained and freshness becomes STALE.</w:t>
      </w:r>
    </w:p>
    <w:p>
      <w:pPr>
        <w:pStyle w:val="ListBullet"/>
      </w:pPr>
      <w:r>
        <w:t>Batch 17C (fbacb99) establishes repeat-refresh idempotency so the same source state can be refreshed safely without duplicate current/master records.</w:t>
      </w:r>
    </w:p>
    <w:p>
      <w:pPr>
        <w:pStyle w:val="Heading2"/>
      </w:pPr>
      <w:r>
        <w:t>17.2 Production projection capability</w:t>
      </w:r>
    </w:p>
    <w:p>
      <w:pPr>
        <w:spacing w:after="120"/>
      </w:pPr>
      <w:r>
        <w:t>The strategist now has a production-oriented projection contract rather than relying on an isolated modelling component.</w:t>
      </w:r>
    </w:p>
    <w:p>
      <w:pPr>
        <w:pStyle w:val="ListBullet"/>
      </w:pPr>
      <w:r>
        <w:t>Batch 18A (0905d96) produces a typed ProductionProjectionResult for a target Gameweek and explicit future horizon.</w:t>
      </w:r>
    </w:p>
    <w:p>
      <w:pPr>
        <w:pStyle w:val="ListBullet"/>
      </w:pPr>
      <w:r>
        <w:t>Completed fixtures before the target are used for point-in-time team state; future/uncompleted fixtures are used for the forecast horizon.</w:t>
      </w:r>
    </w:p>
    <w:p>
      <w:pPr>
        <w:pStyle w:val="ListBullet"/>
      </w:pPr>
      <w:r>
        <w:t>Player fixture projections are aggregated across the horizon, allowing multiple fixtures in a Gameweek to contribute.</w:t>
      </w:r>
    </w:p>
    <w:p>
      <w:pPr>
        <w:pStyle w:val="ListBullet"/>
      </w:pPr>
      <w:r>
        <w:t>Projection completeness and warnings are explicit and must not be hidden from downstream strategy.</w:t>
      </w:r>
    </w:p>
    <w:p>
      <w:pPr>
        <w:pStyle w:val="Heading2"/>
      </w:pPr>
      <w:r>
        <w:t>17.3 Strategy integration</w:t>
      </w:r>
    </w:p>
    <w:p>
      <w:pPr>
        <w:spacing w:after="120"/>
      </w:pPr>
      <w:r>
        <w:t>Batch 18B (ce1c62c) connects the production projection contract to the existing strategy orchestration layer without breaking the legacy API.</w:t>
      </w:r>
    </w:p>
    <w:p>
      <w:pPr>
        <w:pStyle w:val="ListBullet"/>
      </w:pPr>
      <w:r>
        <w:t>The production adapter consumes authoritative ProductionProjectionResult projections.</w:t>
      </w:r>
    </w:p>
    <w:p>
      <w:pPr>
        <w:pStyle w:val="ListBullet"/>
      </w:pPr>
      <w:r>
        <w:t>Target/horizon alignment is validated at the boundary.</w:t>
      </w:r>
    </w:p>
    <w:p>
      <w:pPr>
        <w:pStyle w:val="ListBullet"/>
      </w:pPr>
      <w:r>
        <w:t>Projection warnings and completeness propagate into StrategicDecision.</w:t>
      </w:r>
    </w:p>
    <w:p>
      <w:pPr>
        <w:pStyle w:val="ListBullet"/>
      </w:pPr>
      <w:r>
        <w:t>Legacy direct orchestration remains versioned as strategy_orchestrator_v1_2; the production-integrated path is strategy_orchestrator_v1_3.</w:t>
      </w:r>
    </w:p>
    <w:p>
      <w:pPr>
        <w:pStyle w:val="ListBullet"/>
      </w:pPr>
      <w:r>
        <w:t>app.py remains unchanged; application wiring and end-to-end GW6 delivery remain subsequent work.</w:t>
      </w:r>
    </w:p>
    <w:p>
      <w:pPr>
        <w:pStyle w:val="Heading2"/>
      </w:pPr>
      <w:r>
        <w:t>17.4 Checkpoint status</w:t>
      </w:r>
    </w:p>
    <w:p>
      <w:pPr>
        <w:spacing w:after="120"/>
      </w:pPr>
      <w:r>
        <w:t>The persistence and production-projection foundations are implemented and tested, but this checkpoint does not claim end-to-end production readiness.</w:t>
      </w:r>
    </w:p>
    <w:p>
      <w:pPr>
        <w:pStyle w:val="ListBullet"/>
      </w:pPr>
      <w:r>
        <w:t>18A focused tests: 6 passed.</w:t>
      </w:r>
    </w:p>
    <w:p>
      <w:pPr>
        <w:pStyle w:val="ListBullet"/>
      </w:pPr>
      <w:r>
        <w:t>18B focused tests: 16 passed.</w:t>
      </w:r>
    </w:p>
    <w:p>
      <w:pPr>
        <w:pStyle w:val="ListBullet"/>
      </w:pPr>
      <w:r>
        <w:t>Full repository suite after 18B: 282 passed locally in the development environment.</w:t>
      </w:r>
    </w:p>
    <w:p>
      <w:pPr>
        <w:pStyle w:val="ListBullet"/>
      </w:pPr>
      <w:r>
        <w:t>Next production work remains end-to-end strategist pipeline wiring, live manager/rival/news integration and final GW6 validation.</w:t>
      </w:r>
    </w:p>
    <w:p>
      <w:r>
        <w:br w:type="page"/>
      </w:r>
    </w:p>
    <w:p>
      <w:pPr>
        <w:pStyle w:val="Heading1"/>
      </w:pPr>
      <w:r>
        <w:t>Business Requirements — Full Project Evolution Reconciliation</w:t>
      </w:r>
    </w:p>
    <w:p>
      <w:r>
        <w:t>The BRD is the business/product view. The appendix records implementation history only where it changes business scope, trust, operating model or roadmap; detailed code mechanics remain in the Technical Specification.</w:t>
      </w:r>
    </w:p>
    <w:p>
      <w:pPr>
        <w:pStyle w:val="Heading2"/>
      </w:pPr>
      <w:r>
        <w:t>A. Batch 1–18 implementation and design traceability</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tcPr>
          <w:p>
            <w:r/>
            <w:r>
              <w:rPr>
                <w:b/>
                <w:sz w:val="16"/>
              </w:rPr>
              <w:t>Batch</w:t>
            </w:r>
          </w:p>
        </w:tc>
        <w:tc>
          <w:tcPr>
            <w:tcW w:type="dxa" w:w="1632"/>
            <w:vAlign w:val="center"/>
          </w:tcPr>
          <w:p>
            <w:r/>
            <w:r>
              <w:rPr>
                <w:b/>
                <w:sz w:val="16"/>
              </w:rPr>
              <w:t>Implementation focus</w:t>
            </w:r>
          </w:p>
        </w:tc>
        <w:tc>
          <w:tcPr>
            <w:tcW w:type="dxa" w:w="1632"/>
            <w:vAlign w:val="center"/>
          </w:tcPr>
          <w:p>
            <w:r/>
            <w:r>
              <w:rPr>
                <w:b/>
                <w:sz w:val="16"/>
              </w:rPr>
              <w:t>Material change / scope</w:t>
            </w:r>
          </w:p>
        </w:tc>
        <w:tc>
          <w:tcPr>
            <w:tcW w:type="dxa" w:w="1632"/>
            <w:vAlign w:val="center"/>
          </w:tcPr>
          <w:p>
            <w:r/>
            <w:r>
              <w:rPr>
                <w:b/>
                <w:sz w:val="16"/>
              </w:rPr>
              <w:t>Evidence / validation</w:t>
            </w:r>
          </w:p>
        </w:tc>
        <w:tc>
          <w:tcPr>
            <w:tcW w:type="dxa" w:w="1632"/>
            <w:vAlign w:val="center"/>
          </w:tcPr>
          <w:p>
            <w:r/>
            <w:r>
              <w:rPr>
                <w:b/>
                <w:sz w:val="16"/>
              </w:rPr>
              <w:t>Documentation impact</w:t>
            </w:r>
          </w:p>
        </w:tc>
        <w:tc>
          <w:tcPr>
            <w:tcW w:type="dxa" w:w="1632"/>
            <w:vAlign w:val="center"/>
          </w:tcPr>
          <w:p>
            <w:r/>
            <w:r>
              <w:rPr>
                <w:b/>
                <w:sz w:val="16"/>
              </w:rPr>
              <w:t>Architecture implication</w:t>
            </w:r>
          </w:p>
        </w:tc>
      </w:tr>
      <w:tr>
        <w:tc>
          <w:tcPr>
            <w:tcW w:type="dxa" w:w="1632"/>
            <w:vAlign w:val="center"/>
          </w:tcPr>
          <w:p>
            <w:r/>
            <w:r>
              <w:rPr>
                <w:b w:val="0"/>
                <w:sz w:val="16"/>
              </w:rPr>
              <w:t>1</w:t>
            </w:r>
          </w:p>
        </w:tc>
        <w:tc>
          <w:tcPr>
            <w:tcW w:type="dxa" w:w="1632"/>
            <w:vAlign w:val="center"/>
          </w:tcPr>
          <w:p>
            <w:r/>
            <w:r>
              <w:rPr>
                <w:b w:val="0"/>
                <w:sz w:val="16"/>
              </w:rPr>
              <w:t>SQLite schema foundation</w:t>
            </w:r>
          </w:p>
        </w:tc>
        <w:tc>
          <w:tcPr>
            <w:tcW w:type="dxa" w:w="1632"/>
            <w:vAlign w:val="center"/>
          </w:tcPr>
          <w:p>
            <w:r/>
            <w:r>
              <w:rPr>
                <w:b w:val="0"/>
                <w:sz w:val="16"/>
              </w:rPr>
              <w:t>Canonical SQLite schema/infrastructure; FK/index/version/idempotent initialization; JSON/refresh behavior preserved.</w:t>
            </w:r>
          </w:p>
        </w:tc>
        <w:tc>
          <w:tcPr>
            <w:tcW w:type="dxa" w:w="1632"/>
            <w:vAlign w:val="center"/>
          </w:tcPr>
          <w:p>
            <w:r/>
            <w:r>
              <w:rPr>
                <w:b w:val="0"/>
                <w:sz w:val="16"/>
              </w:rPr>
              <w:t>“Add SQLite schema foundation”; `db/schema.sql`, `sqlite_db.py`, `test_sqlite_schema.py`; 5 focused SQLite tests; 21 regression tests; environment-limited run reported 112 passed / 24 errors.</w:t>
            </w:r>
          </w:p>
        </w:tc>
        <w:tc>
          <w:tcPr>
            <w:tcW w:type="dxa" w:w="1632"/>
            <w:vAlign w:val="center"/>
          </w:tcPr>
          <w:p>
            <w:r/>
            <w:r>
              <w:rPr>
                <w:b w:val="0"/>
                <w:sz w:val="16"/>
              </w:rPr>
              <w:t>Persistence foundation</w:t>
            </w:r>
          </w:p>
        </w:tc>
        <w:tc>
          <w:tcPr>
            <w:tcW w:type="dxa" w:w="1632"/>
            <w:vAlign w:val="center"/>
          </w:tcPr>
          <w:p>
            <w:r/>
            <w:r>
              <w:rPr>
                <w:b w:val="0"/>
                <w:sz w:val="16"/>
              </w:rPr>
              <w:t>SQLite becomes the durable target behind abstraction; schema precedes integration.</w:t>
            </w:r>
          </w:p>
        </w:tc>
      </w:tr>
      <w:tr>
        <w:tc>
          <w:tcPr>
            <w:tcW w:type="dxa" w:w="1632"/>
            <w:vAlign w:val="center"/>
          </w:tcPr>
          <w:p>
            <w:r/>
            <w:r>
              <w:rPr>
                <w:b w:val="0"/>
                <w:sz w:val="16"/>
              </w:rPr>
              <w:t>2</w:t>
            </w:r>
          </w:p>
        </w:tc>
        <w:tc>
          <w:tcPr>
            <w:tcW w:type="dxa" w:w="1632"/>
            <w:vAlign w:val="center"/>
          </w:tcPr>
          <w:p>
            <w:r/>
            <w:r>
              <w:rPr>
                <w:b w:val="0"/>
                <w:sz w:val="16"/>
              </w:rPr>
              <w:t>SQLite repository for global FPL data</w:t>
            </w:r>
          </w:p>
        </w:tc>
        <w:tc>
          <w:tcPr>
            <w:tcW w:type="dxa" w:w="1632"/>
            <w:vAlign w:val="center"/>
          </w:tcPr>
          <w:p>
            <w:r/>
            <w:r>
              <w:rPr>
                <w:b w:val="0"/>
                <w:sz w:val="16"/>
              </w:rPr>
              <w:t>Repository contract plus SQLite implementation for ingestion runs, seasons/gameweeks, teams/snapshots, players/snapshots, fixtures and current player-GW stats.</w:t>
            </w:r>
          </w:p>
        </w:tc>
        <w:tc>
          <w:tcPr>
            <w:tcW w:type="dxa" w:w="1632"/>
            <w:vAlign w:val="center"/>
          </w:tcPr>
          <w:p>
            <w:r/>
            <w:r>
              <w:rPr>
                <w:b w:val="0"/>
                <w:sz w:val="16"/>
              </w:rPr>
              <w:t>`5ebd112` — “Extend SQLite repository for global FPL data”; 26 repository tests; full suite 162.</w:t>
            </w:r>
          </w:p>
        </w:tc>
        <w:tc>
          <w:tcPr>
            <w:tcW w:type="dxa" w:w="1632"/>
            <w:vAlign w:val="center"/>
          </w:tcPr>
          <w:p>
            <w:r/>
            <w:r>
              <w:rPr>
                <w:b w:val="0"/>
                <w:sz w:val="16"/>
              </w:rPr>
              <w:t>Persistence abstraction</w:t>
            </w:r>
          </w:p>
        </w:tc>
        <w:tc>
          <w:tcPr>
            <w:tcW w:type="dxa" w:w="1632"/>
            <w:vAlign w:val="center"/>
          </w:tcPr>
          <w:p>
            <w:r/>
            <w:r>
              <w:rPr>
                <w:b w:val="0"/>
                <w:sz w:val="16"/>
              </w:rPr>
              <w:t>Business logic writes through repository; no direct SQL in strategy/business layers.</w:t>
            </w:r>
          </w:p>
        </w:tc>
      </w:tr>
      <w:tr>
        <w:tc>
          <w:tcPr>
            <w:tcW w:type="dxa" w:w="1632"/>
            <w:vAlign w:val="center"/>
          </w:tcPr>
          <w:p>
            <w:r/>
            <w:r>
              <w:rPr>
                <w:b w:val="0"/>
                <w:sz w:val="16"/>
              </w:rPr>
              <w:t>3</w:t>
            </w:r>
          </w:p>
        </w:tc>
        <w:tc>
          <w:tcPr>
            <w:tcW w:type="dxa" w:w="1632"/>
            <w:vAlign w:val="center"/>
          </w:tcPr>
          <w:p>
            <w:r/>
            <w:r>
              <w:rPr>
                <w:b w:val="0"/>
                <w:sz w:val="16"/>
              </w:rPr>
              <w:t>Global FPL refresh → SQLite</w:t>
            </w:r>
          </w:p>
        </w:tc>
        <w:tc>
          <w:tcPr>
            <w:tcW w:type="dxa" w:w="1632"/>
            <w:vAlign w:val="center"/>
          </w:tcPr>
          <w:p>
            <w:r/>
            <w:r>
              <w:rPr>
                <w:b w:val="0"/>
                <w:sz w:val="16"/>
              </w:rPr>
              <w:t>Connected official FPL global refresh to FPLDataSource → FPLRefreshManager → Repository → SQLiteRepository; normalized bootstrap/fixtures into canonical tables.</w:t>
            </w:r>
          </w:p>
        </w:tc>
        <w:tc>
          <w:tcPr>
            <w:tcW w:type="dxa" w:w="1632"/>
            <w:vAlign w:val="center"/>
          </w:tcPr>
          <w:p>
            <w:r/>
            <w:r>
              <w:rPr>
                <w:b w:val="0"/>
                <w:sz w:val="16"/>
              </w:rPr>
              <w:t>`93e2d3e` — “Connect global refresh to SQLite repository”; 10 targeted; full suite 169.</w:t>
            </w:r>
          </w:p>
        </w:tc>
        <w:tc>
          <w:tcPr>
            <w:tcW w:type="dxa" w:w="1632"/>
            <w:vAlign w:val="center"/>
          </w:tcPr>
          <w:p>
            <w:r/>
            <w:r>
              <w:rPr>
                <w:b w:val="0"/>
                <w:sz w:val="16"/>
              </w:rPr>
              <w:t>Refresh architecture</w:t>
            </w:r>
          </w:p>
        </w:tc>
        <w:tc>
          <w:tcPr>
            <w:tcW w:type="dxa" w:w="1632"/>
            <w:vAlign w:val="center"/>
          </w:tcPr>
          <w:p>
            <w:r/>
            <w:r>
              <w:rPr>
                <w:b w:val="0"/>
                <w:sz w:val="16"/>
              </w:rPr>
              <w:t>Refresh became the controlled ingestion path into canonical SQLite state.</w:t>
            </w:r>
          </w:p>
        </w:tc>
      </w:tr>
      <w:tr>
        <w:tc>
          <w:tcPr>
            <w:tcW w:type="dxa" w:w="1632"/>
            <w:vAlign w:val="center"/>
          </w:tcPr>
          <w:p>
            <w:r/>
            <w:r>
              <w:rPr>
                <w:b w:val="0"/>
                <w:sz w:val="16"/>
              </w:rPr>
              <w:t>4</w:t>
            </w:r>
          </w:p>
        </w:tc>
        <w:tc>
          <w:tcPr>
            <w:tcW w:type="dxa" w:w="1632"/>
            <w:vAlign w:val="center"/>
          </w:tcPr>
          <w:p>
            <w:r/>
            <w:r>
              <w:rPr>
                <w:b w:val="0"/>
                <w:sz w:val="16"/>
              </w:rPr>
              <w:t>Manager and league source support</w:t>
            </w:r>
          </w:p>
        </w:tc>
        <w:tc>
          <w:tcPr>
            <w:tcW w:type="dxa" w:w="1632"/>
            <w:vAlign w:val="center"/>
          </w:tcPr>
          <w:p>
            <w:r/>
            <w:r>
              <w:rPr>
                <w:b w:val="0"/>
                <w:sz w:val="16"/>
              </w:rPr>
              <w:t>Added manager profile/transfers and classic-league standings retrieval; no schema expansion.</w:t>
            </w:r>
          </w:p>
        </w:tc>
        <w:tc>
          <w:tcPr>
            <w:tcW w:type="dxa" w:w="1632"/>
            <w:vAlign w:val="center"/>
          </w:tcPr>
          <w:p>
            <w:r/>
            <w:r>
              <w:rPr>
                <w:b w:val="0"/>
                <w:sz w:val="16"/>
              </w:rPr>
              <w:t>`b435eaf` — “Add manager and league data source support”; 28 focused; project total 171.</w:t>
            </w:r>
          </w:p>
        </w:tc>
        <w:tc>
          <w:tcPr>
            <w:tcW w:type="dxa" w:w="1632"/>
            <w:vAlign w:val="center"/>
          </w:tcPr>
          <w:p>
            <w:r/>
            <w:r>
              <w:rPr>
                <w:b w:val="0"/>
                <w:sz w:val="16"/>
              </w:rPr>
              <w:t>Data-source architecture</w:t>
            </w:r>
          </w:p>
        </w:tc>
        <w:tc>
          <w:tcPr>
            <w:tcW w:type="dxa" w:w="1632"/>
            <w:vAlign w:val="center"/>
          </w:tcPr>
          <w:p>
            <w:r/>
            <w:r>
              <w:rPr>
                <w:b w:val="0"/>
                <w:sz w:val="16"/>
              </w:rPr>
              <w:t>Manager/league retrieval is separated from persistence and schema.</w:t>
            </w:r>
          </w:p>
        </w:tc>
      </w:tr>
      <w:tr>
        <w:tc>
          <w:tcPr>
            <w:tcW w:type="dxa" w:w="1632"/>
            <w:vAlign w:val="center"/>
          </w:tcPr>
          <w:p>
            <w:r/>
            <w:r>
              <w:rPr>
                <w:b w:val="0"/>
                <w:sz w:val="16"/>
              </w:rPr>
              <w:t>5</w:t>
            </w:r>
          </w:p>
        </w:tc>
        <w:tc>
          <w:tcPr>
            <w:tcW w:type="dxa" w:w="1632"/>
            <w:vAlign w:val="center"/>
          </w:tcPr>
          <w:p>
            <w:r/>
            <w:r>
              <w:rPr>
                <w:b w:val="0"/>
                <w:sz w:val="16"/>
              </w:rPr>
              <w:t>Manager state persistence</w:t>
            </w:r>
          </w:p>
        </w:tc>
        <w:tc>
          <w:tcPr>
            <w:tcW w:type="dxa" w:w="1632"/>
            <w:vAlign w:val="center"/>
          </w:tcPr>
          <w:p>
            <w:r/>
            <w:r>
              <w:rPr>
                <w:b w:val="0"/>
                <w:sz w:val="16"/>
              </w:rPr>
              <w:t>Persisted users/managers, manager GW state, picks, transfers and chips through SQLite repository.</w:t>
            </w:r>
          </w:p>
        </w:tc>
        <w:tc>
          <w:tcPr>
            <w:tcW w:type="dxa" w:w="1632"/>
            <w:vAlign w:val="center"/>
          </w:tcPr>
          <w:p>
            <w:r/>
            <w:r>
              <w:rPr>
                <w:b w:val="0"/>
                <w:sz w:val="16"/>
              </w:rPr>
              <w:t>`22e263f` — manager state persistence; project total 179.</w:t>
            </w:r>
          </w:p>
        </w:tc>
        <w:tc>
          <w:tcPr>
            <w:tcW w:type="dxa" w:w="1632"/>
            <w:vAlign w:val="center"/>
          </w:tcPr>
          <w:p>
            <w:r/>
            <w:r>
              <w:rPr>
                <w:b w:val="0"/>
                <w:sz w:val="16"/>
              </w:rPr>
              <w:t>Manager state</w:t>
            </w:r>
          </w:p>
        </w:tc>
        <w:tc>
          <w:tcPr>
            <w:tcW w:type="dxa" w:w="1632"/>
            <w:vAlign w:val="center"/>
          </w:tcPr>
          <w:p>
            <w:r/>
            <w:r>
              <w:rPr>
                <w:b w:val="0"/>
                <w:sz w:val="16"/>
              </w:rPr>
              <w:t>Authoritative manager state is persisted separately from strategic memory.</w:t>
            </w:r>
          </w:p>
        </w:tc>
      </w:tr>
      <w:tr>
        <w:tc>
          <w:tcPr>
            <w:tcW w:type="dxa" w:w="1632"/>
            <w:vAlign w:val="center"/>
          </w:tcPr>
          <w:p>
            <w:r/>
            <w:r>
              <w:rPr>
                <w:b w:val="0"/>
                <w:sz w:val="16"/>
              </w:rPr>
              <w:t>6</w:t>
            </w:r>
          </w:p>
        </w:tc>
        <w:tc>
          <w:tcPr>
            <w:tcW w:type="dxa" w:w="1632"/>
            <w:vAlign w:val="center"/>
          </w:tcPr>
          <w:p>
            <w:r/>
            <w:r>
              <w:rPr>
                <w:b w:val="0"/>
                <w:sz w:val="16"/>
              </w:rPr>
              <w:t>Multi-league and rival persistence</w:t>
            </w:r>
          </w:p>
        </w:tc>
        <w:tc>
          <w:tcPr>
            <w:tcW w:type="dxa" w:w="1632"/>
            <w:vAlign w:val="center"/>
          </w:tcPr>
          <w:p>
            <w:r/>
            <w:r>
              <w:rPr>
                <w:b w:val="0"/>
                <w:sz w:val="16"/>
              </w:rPr>
              <w:t>Added leagues, many-to-many league membership, league standings by league/manager/GW, and rival squad snapshots; supports overlapping memberships and paginated standings.</w:t>
            </w:r>
          </w:p>
        </w:tc>
        <w:tc>
          <w:tcPr>
            <w:tcW w:type="dxa" w:w="1632"/>
            <w:vAlign w:val="center"/>
          </w:tcPr>
          <w:p>
            <w:r/>
            <w:r>
              <w:rPr>
                <w:b w:val="0"/>
                <w:sz w:val="16"/>
              </w:rPr>
              <w:t>`60b381f` — “Add multi-league and rival persistence”; 48 focused; full suite 181.</w:t>
            </w:r>
          </w:p>
        </w:tc>
        <w:tc>
          <w:tcPr>
            <w:tcW w:type="dxa" w:w="1632"/>
            <w:vAlign w:val="center"/>
          </w:tcPr>
          <w:p>
            <w:r/>
            <w:r>
              <w:rPr>
                <w:b w:val="0"/>
                <w:sz w:val="16"/>
              </w:rPr>
              <w:t>League/rival architecture</w:t>
            </w:r>
          </w:p>
        </w:tc>
        <w:tc>
          <w:tcPr>
            <w:tcW w:type="dxa" w:w="1632"/>
            <w:vAlign w:val="center"/>
          </w:tcPr>
          <w:p>
            <w:r/>
            <w:r>
              <w:rPr>
                <w:b w:val="0"/>
                <w:sz w:val="16"/>
              </w:rPr>
              <w:t>One universal team optimizer; leagues/rivals are contextual inputs, never separate team optimizers.</w:t>
            </w:r>
          </w:p>
        </w:tc>
      </w:tr>
      <w:tr>
        <w:tc>
          <w:tcPr>
            <w:tcW w:type="dxa" w:w="1632"/>
            <w:vAlign w:val="center"/>
          </w:tcPr>
          <w:p>
            <w:r/>
            <w:r>
              <w:rPr>
                <w:b w:val="0"/>
                <w:sz w:val="16"/>
              </w:rPr>
              <w:t>7</w:t>
            </w:r>
          </w:p>
        </w:tc>
        <w:tc>
          <w:tcPr>
            <w:tcW w:type="dxa" w:w="1632"/>
            <w:vAlign w:val="center"/>
          </w:tcPr>
          <w:p>
            <w:r/>
            <w:r>
              <w:rPr>
                <w:b w:val="0"/>
                <w:sz w:val="16"/>
              </w:rPr>
              <w:t>Freshness and refresh orchestration</w:t>
            </w:r>
          </w:p>
        </w:tc>
        <w:tc>
          <w:tcPr>
            <w:tcW w:type="dxa" w:w="1632"/>
            <w:vAlign w:val="center"/>
          </w:tcPr>
          <w:p>
            <w:r/>
            <w:r>
              <w:rPr>
                <w:b w:val="0"/>
                <w:sz w:val="16"/>
              </w:rPr>
              <w:t>Persisted dataset freshness for global, manager and league data; refresh-if-needed skips fresh data, refreshes stale/missing data, and preserves prior successful state on failure.</w:t>
            </w:r>
          </w:p>
        </w:tc>
        <w:tc>
          <w:tcPr>
            <w:tcW w:type="dxa" w:w="1632"/>
            <w:vAlign w:val="center"/>
          </w:tcPr>
          <w:p>
            <w:r/>
            <w:r>
              <w:rPr>
                <w:b w:val="0"/>
                <w:sz w:val="16"/>
              </w:rPr>
              <w:t>55 focused + 69 regression tests during development; user-local full suite 187.</w:t>
            </w:r>
          </w:p>
        </w:tc>
        <w:tc>
          <w:tcPr>
            <w:tcW w:type="dxa" w:w="1632"/>
            <w:vAlign w:val="center"/>
          </w:tcPr>
          <w:p>
            <w:r/>
            <w:r>
              <w:rPr>
                <w:b w:val="0"/>
                <w:sz w:val="16"/>
              </w:rPr>
              <w:t>Operational architecture</w:t>
            </w:r>
          </w:p>
        </w:tc>
        <w:tc>
          <w:tcPr>
            <w:tcW w:type="dxa" w:w="1632"/>
            <w:vAlign w:val="center"/>
          </w:tcPr>
          <w:p>
            <w:r/>
            <w:r>
              <w:rPr>
                <w:b w:val="0"/>
                <w:sz w:val="16"/>
              </w:rPr>
              <w:t>Freshness policy decides usability; refresh manager performs retrieval; prompt ≠ data refresh.</w:t>
            </w:r>
          </w:p>
        </w:tc>
      </w:tr>
      <w:tr>
        <w:tc>
          <w:tcPr>
            <w:tcW w:type="dxa" w:w="1632"/>
            <w:vAlign w:val="center"/>
          </w:tcPr>
          <w:p>
            <w:r/>
            <w:r>
              <w:rPr>
                <w:b w:val="0"/>
                <w:sz w:val="16"/>
              </w:rPr>
              <w:t>8</w:t>
            </w:r>
          </w:p>
        </w:tc>
        <w:tc>
          <w:tcPr>
            <w:tcW w:type="dxa" w:w="1632"/>
            <w:vAlign w:val="center"/>
          </w:tcPr>
          <w:p>
            <w:r/>
            <w:r>
              <w:rPr>
                <w:b w:val="0"/>
                <w:sz w:val="16"/>
              </w:rPr>
              <w:t>Fixture-level player expected points</w:t>
            </w:r>
          </w:p>
        </w:tc>
        <w:tc>
          <w:tcPr>
            <w:tcW w:type="dxa" w:w="1632"/>
            <w:vAlign w:val="center"/>
          </w:tcPr>
          <w:p>
            <w:r/>
            <w:r>
              <w:rPr>
                <w:b w:val="0"/>
                <w:sz w:val="16"/>
              </w:rPr>
              <w:t>Added player fixture model bridging team xG → player xG/xA → clean sheets → bonus → expected points; explicit incomplete/NO-DATA behavior.</w:t>
            </w:r>
          </w:p>
        </w:tc>
        <w:tc>
          <w:tcPr>
            <w:tcW w:type="dxa" w:w="1632"/>
            <w:vAlign w:val="center"/>
          </w:tcPr>
          <w:p>
            <w:r/>
            <w:r>
              <w:rPr>
                <w:b w:val="0"/>
                <w:sz w:val="16"/>
              </w:rPr>
              <w:t>`c0ab52f` — “Add fixture-level player expected points”; 26 focused; full suite 197.</w:t>
            </w:r>
          </w:p>
        </w:tc>
        <w:tc>
          <w:tcPr>
            <w:tcW w:type="dxa" w:w="1632"/>
            <w:vAlign w:val="center"/>
          </w:tcPr>
          <w:p>
            <w:r/>
            <w:r>
              <w:rPr>
                <w:b w:val="0"/>
                <w:sz w:val="16"/>
              </w:rPr>
              <w:t>Prediction architecture</w:t>
            </w:r>
          </w:p>
        </w:tc>
        <w:tc>
          <w:tcPr>
            <w:tcW w:type="dxa" w:w="1632"/>
            <w:vAlign w:val="center"/>
          </w:tcPr>
          <w:p>
            <w:r/>
            <w:r>
              <w:rPr>
                <w:b w:val="0"/>
                <w:sz w:val="16"/>
              </w:rPr>
              <w:t>Fixture xP is an adapter/model bridge; no invented missing inputs; Historical Prior remains diagnostic-only.</w:t>
            </w:r>
          </w:p>
        </w:tc>
      </w:tr>
      <w:tr>
        <w:tc>
          <w:tcPr>
            <w:tcW w:type="dxa" w:w="1632"/>
            <w:vAlign w:val="center"/>
          </w:tcPr>
          <w:p>
            <w:r/>
            <w:r>
              <w:rPr>
                <w:b w:val="0"/>
                <w:sz w:val="16"/>
              </w:rPr>
              <w:t>9</w:t>
            </w:r>
          </w:p>
        </w:tc>
        <w:tc>
          <w:tcPr>
            <w:tcW w:type="dxa" w:w="1632"/>
            <w:vAlign w:val="center"/>
          </w:tcPr>
          <w:p>
            <w:r/>
            <w:r>
              <w:rPr>
                <w:b w:val="0"/>
                <w:sz w:val="16"/>
              </w:rPr>
              <w:t>Expected minutes / start probability</w:t>
            </w:r>
          </w:p>
        </w:tc>
        <w:tc>
          <w:tcPr>
            <w:tcW w:type="dxa" w:w="1632"/>
            <w:vAlign w:val="center"/>
          </w:tcPr>
          <w:p>
            <w:r/>
            <w:r>
              <w:rPr>
                <w:b w:val="0"/>
                <w:sz w:val="16"/>
              </w:rPr>
              <w:t>Added availability → start probability → expected minutes → player xG/xA → fixture xP chain; V1 uses Expected Minutes = 90 × Start Probability.</w:t>
            </w:r>
          </w:p>
        </w:tc>
        <w:tc>
          <w:tcPr>
            <w:tcW w:type="dxa" w:w="1632"/>
            <w:vAlign w:val="center"/>
          </w:tcPr>
          <w:p>
            <w:r/>
            <w:r>
              <w:rPr>
                <w:b w:val="0"/>
                <w:sz w:val="16"/>
              </w:rPr>
              <w:t>`bd413c2` — “Add player expected minutes model”; 23 focused; full suite 208.</w:t>
            </w:r>
          </w:p>
        </w:tc>
        <w:tc>
          <w:tcPr>
            <w:tcW w:type="dxa" w:w="1632"/>
            <w:vAlign w:val="center"/>
          </w:tcPr>
          <w:p>
            <w:r/>
            <w:r>
              <w:rPr>
                <w:b w:val="0"/>
                <w:sz w:val="16"/>
              </w:rPr>
              <w:t>Prediction architecture</w:t>
            </w:r>
          </w:p>
        </w:tc>
        <w:tc>
          <w:tcPr>
            <w:tcW w:type="dxa" w:w="1632"/>
            <w:vAlign w:val="center"/>
          </w:tcPr>
          <w:p>
            <w:r/>
            <w:r>
              <w:rPr>
                <w:b w:val="0"/>
                <w:sz w:val="16"/>
              </w:rPr>
              <w:t>Expected Minutes precedes production xP; model exposes completeness/warnings/version.</w:t>
            </w:r>
          </w:p>
        </w:tc>
      </w:tr>
      <w:tr>
        <w:tc>
          <w:tcPr>
            <w:tcW w:type="dxa" w:w="1632"/>
            <w:vAlign w:val="center"/>
          </w:tcPr>
          <w:p>
            <w:r/>
            <w:r>
              <w:rPr>
                <w:b w:val="0"/>
                <w:sz w:val="16"/>
              </w:rPr>
              <w:t>10</w:t>
            </w:r>
          </w:p>
        </w:tc>
        <w:tc>
          <w:tcPr>
            <w:tcW w:type="dxa" w:w="1632"/>
            <w:vAlign w:val="center"/>
          </w:tcPr>
          <w:p>
            <w:r/>
            <w:r>
              <w:rPr>
                <w:b w:val="0"/>
                <w:sz w:val="16"/>
              </w:rPr>
              <w:t>Legal squad optimizer</w:t>
            </w:r>
          </w:p>
        </w:tc>
        <w:tc>
          <w:tcPr>
            <w:tcW w:type="dxa" w:w="1632"/>
            <w:vAlign w:val="center"/>
          </w:tcPr>
          <w:p>
            <w:r/>
            <w:r>
              <w:rPr>
                <w:b w:val="0"/>
                <w:sz w:val="16"/>
              </w:rPr>
              <w:t>Added deterministic legal 15-player squad optimization enforcing positions, budget, max three per club, legal XI, transfer hits and warnings.</w:t>
            </w:r>
          </w:p>
        </w:tc>
        <w:tc>
          <w:tcPr>
            <w:tcW w:type="dxa" w:w="1632"/>
            <w:vAlign w:val="center"/>
          </w:tcPr>
          <w:p>
            <w:r/>
            <w:r>
              <w:rPr>
                <w:b w:val="0"/>
                <w:sz w:val="16"/>
              </w:rPr>
              <w:t>`2224b01` — “Add legal squad optimizer”; full suite 213.</w:t>
            </w:r>
          </w:p>
        </w:tc>
        <w:tc>
          <w:tcPr>
            <w:tcW w:type="dxa" w:w="1632"/>
            <w:vAlign w:val="center"/>
          </w:tcPr>
          <w:p>
            <w:r/>
            <w:r>
              <w:rPr>
                <w:b w:val="0"/>
                <w:sz w:val="16"/>
              </w:rPr>
              <w:t>Strategy/optimization</w:t>
            </w:r>
          </w:p>
        </w:tc>
        <w:tc>
          <w:tcPr>
            <w:tcW w:type="dxa" w:w="1632"/>
            <w:vAlign w:val="center"/>
          </w:tcPr>
          <w:p>
            <w:r/>
            <w:r>
              <w:rPr>
                <w:b w:val="0"/>
                <w:sz w:val="16"/>
              </w:rPr>
              <w:t>Expected points feed a legality-constrained optimizer; legality is explicit, not an LLM responsibility.</w:t>
            </w:r>
          </w:p>
        </w:tc>
      </w:tr>
      <w:tr>
        <w:tc>
          <w:tcPr>
            <w:tcW w:type="dxa" w:w="1632"/>
            <w:vAlign w:val="center"/>
          </w:tcPr>
          <w:p>
            <w:r/>
            <w:r>
              <w:rPr>
                <w:b w:val="0"/>
                <w:sz w:val="16"/>
              </w:rPr>
              <w:t>11</w:t>
            </w:r>
          </w:p>
        </w:tc>
        <w:tc>
          <w:tcPr>
            <w:tcW w:type="dxa" w:w="1632"/>
            <w:vAlign w:val="center"/>
          </w:tcPr>
          <w:p>
            <w:r/>
            <w:r>
              <w:rPr>
                <w:b w:val="0"/>
                <w:sz w:val="16"/>
              </w:rPr>
              <w:t>Expected Points V2 + multi-GW transfer optimization</w:t>
            </w:r>
          </w:p>
        </w:tc>
        <w:tc>
          <w:tcPr>
            <w:tcW w:type="dxa" w:w="1632"/>
            <w:vAlign w:val="center"/>
          </w:tcPr>
          <w:p>
            <w:r/>
            <w:r>
              <w:rPr>
                <w:b w:val="0"/>
                <w:sz w:val="16"/>
              </w:rPr>
              <w:t>Upgraded xP interface and player fixture model; added bounded multi-GW transfer optimization with rolling free transfers, bank/prices, hits and legality.</w:t>
            </w:r>
          </w:p>
        </w:tc>
        <w:tc>
          <w:tcPr>
            <w:tcW w:type="dxa" w:w="1632"/>
            <w:vAlign w:val="center"/>
          </w:tcPr>
          <w:p>
            <w:r/>
            <w:r>
              <w:rPr>
                <w:b w:val="0"/>
                <w:sz w:val="16"/>
              </w:rPr>
              <w:t>`9ba663b` — “Add multi-GW transfer optimization”; full suite 218.</w:t>
            </w:r>
          </w:p>
        </w:tc>
        <w:tc>
          <w:tcPr>
            <w:tcW w:type="dxa" w:w="1632"/>
            <w:vAlign w:val="center"/>
          </w:tcPr>
          <w:p>
            <w:r/>
            <w:r>
              <w:rPr>
                <w:b w:val="0"/>
                <w:sz w:val="16"/>
              </w:rPr>
              <w:t>Multi-GW strategy</w:t>
            </w:r>
          </w:p>
        </w:tc>
        <w:tc>
          <w:tcPr>
            <w:tcW w:type="dxa" w:w="1632"/>
            <w:vAlign w:val="center"/>
          </w:tcPr>
          <w:p>
            <w:r/>
            <w:r>
              <w:rPr>
                <w:b w:val="0"/>
                <w:sz w:val="16"/>
              </w:rPr>
              <w:t>Optimize over a bounded future horizon with explicit transfer costs; retain no-data/completeness behavior.</w:t>
            </w:r>
          </w:p>
        </w:tc>
      </w:tr>
      <w:tr>
        <w:tc>
          <w:tcPr>
            <w:tcW w:type="dxa" w:w="1632"/>
            <w:vAlign w:val="center"/>
          </w:tcPr>
          <w:p>
            <w:r/>
            <w:r>
              <w:rPr>
                <w:b w:val="0"/>
                <w:sz w:val="16"/>
              </w:rPr>
              <w:t>12</w:t>
            </w:r>
          </w:p>
        </w:tc>
        <w:tc>
          <w:tcPr>
            <w:tcW w:type="dxa" w:w="1632"/>
            <w:vAlign w:val="center"/>
          </w:tcPr>
          <w:p>
            <w:r/>
            <w:r>
              <w:rPr>
                <w:b w:val="0"/>
                <w:sz w:val="16"/>
              </w:rPr>
              <w:t>Captain optimization</w:t>
            </w:r>
          </w:p>
        </w:tc>
        <w:tc>
          <w:tcPr>
            <w:tcW w:type="dxa" w:w="1632"/>
            <w:vAlign w:val="center"/>
          </w:tcPr>
          <w:p>
            <w:r/>
            <w:r>
              <w:rPr>
                <w:b w:val="0"/>
                <w:sz w:val="16"/>
              </w:rPr>
              <w:t>Target-GW captain/vice optimization; DGW summation; distinct captain/vice; warnings/completeness; ownership contextual only; diagnostic ceiling proxy; first-horizon-GW integration; backward-compatible horizon contract.</w:t>
            </w:r>
          </w:p>
        </w:tc>
        <w:tc>
          <w:tcPr>
            <w:tcW w:type="dxa" w:w="1632"/>
            <w:vAlign w:val="center"/>
          </w:tcPr>
          <w:p>
            <w:r/>
            <w:r>
              <w:rPr>
                <w:b w:val="0"/>
                <w:sz w:val="16"/>
              </w:rPr>
              <w:t>`c877c7d` — “Add captain optimization”; 12 internal focused tests; full suite 223.</w:t>
            </w:r>
          </w:p>
        </w:tc>
        <w:tc>
          <w:tcPr>
            <w:tcW w:type="dxa" w:w="1632"/>
            <w:vAlign w:val="center"/>
          </w:tcPr>
          <w:p>
            <w:r/>
            <w:r>
              <w:rPr>
                <w:b w:val="0"/>
                <w:sz w:val="16"/>
              </w:rPr>
              <w:t>Captaincy</w:t>
            </w:r>
          </w:p>
        </w:tc>
        <w:tc>
          <w:tcPr>
            <w:tcW w:type="dxa" w:w="1632"/>
            <w:vAlign w:val="center"/>
          </w:tcPr>
          <w:p>
            <w:r/>
            <w:r>
              <w:rPr>
                <w:b w:val="0"/>
                <w:sz w:val="16"/>
              </w:rPr>
              <w:t>Captaincy is a projection-driven decision layer, not an ownership-driven ranking.</w:t>
            </w:r>
          </w:p>
        </w:tc>
      </w:tr>
      <w:tr>
        <w:tc>
          <w:tcPr>
            <w:tcW w:type="dxa" w:w="1632"/>
            <w:vAlign w:val="center"/>
          </w:tcPr>
          <w:p>
            <w:r/>
            <w:r>
              <w:rPr>
                <w:b w:val="0"/>
                <w:sz w:val="16"/>
              </w:rPr>
              <w:t>13</w:t>
            </w:r>
          </w:p>
        </w:tc>
        <w:tc>
          <w:tcPr>
            <w:tcW w:type="dxa" w:w="1632"/>
            <w:vAlign w:val="center"/>
          </w:tcPr>
          <w:p>
            <w:r/>
            <w:r>
              <w:rPr>
                <w:b w:val="0"/>
                <w:sz w:val="16"/>
              </w:rPr>
              <w:t>Strategy evaluation foundation</w:t>
            </w:r>
          </w:p>
        </w:tc>
        <w:tc>
          <w:tcPr>
            <w:tcW w:type="dxa" w:w="1632"/>
            <w:vAlign w:val="center"/>
          </w:tcPr>
          <w:p>
            <w:r/>
            <w:r>
              <w:rPr>
                <w:b w:val="0"/>
                <w:sz w:val="16"/>
              </w:rPr>
              <w:t>Separated forecast evaluation from decision evaluation; captured information state, prediction/decision, actual outcome, errors/opportunity cost and point-in-time snapshot.</w:t>
            </w:r>
          </w:p>
        </w:tc>
        <w:tc>
          <w:tcPr>
            <w:tcW w:type="dxa" w:w="1632"/>
            <w:vAlign w:val="center"/>
          </w:tcPr>
          <w:p>
            <w:r/>
            <w:r>
              <w:rPr>
                <w:b w:val="0"/>
                <w:sz w:val="16"/>
              </w:rPr>
              <w:t>`5348edd` — “Add strategy evaluation foundation”; 9 focused; full suite 232.</w:t>
            </w:r>
          </w:p>
        </w:tc>
        <w:tc>
          <w:tcPr>
            <w:tcW w:type="dxa" w:w="1632"/>
            <w:vAlign w:val="center"/>
          </w:tcPr>
          <w:p>
            <w:r/>
            <w:r>
              <w:rPr>
                <w:b w:val="0"/>
                <w:sz w:val="16"/>
              </w:rPr>
              <w:t>Evaluation architecture</w:t>
            </w:r>
          </w:p>
        </w:tc>
        <w:tc>
          <w:tcPr>
            <w:tcW w:type="dxa" w:w="1632"/>
            <w:vAlign w:val="center"/>
          </w:tcPr>
          <w:p>
            <w:r/>
            <w:r>
              <w:rPr>
                <w:b w:val="0"/>
                <w:sz w:val="16"/>
              </w:rPr>
              <w:t>Forecast quality and strategy decision quality are evaluated separately; live and walk-forward evaluation remain distinct.</w:t>
            </w:r>
          </w:p>
        </w:tc>
      </w:tr>
      <w:tr>
        <w:tc>
          <w:tcPr>
            <w:tcW w:type="dxa" w:w="1632"/>
            <w:vAlign w:val="center"/>
          </w:tcPr>
          <w:p>
            <w:r/>
            <w:r>
              <w:rPr>
                <w:b w:val="0"/>
                <w:sz w:val="16"/>
              </w:rPr>
              <w:t>14</w:t>
            </w:r>
          </w:p>
        </w:tc>
        <w:tc>
          <w:tcPr>
            <w:tcW w:type="dxa" w:w="1632"/>
            <w:vAlign w:val="center"/>
          </w:tcPr>
          <w:p>
            <w:r/>
            <w:r>
              <w:rPr>
                <w:b w:val="0"/>
                <w:sz w:val="16"/>
              </w:rPr>
              <w:t>Future horizon and scenario foundation</w:t>
            </w:r>
          </w:p>
        </w:tc>
        <w:tc>
          <w:tcPr>
            <w:tcW w:type="dxa" w:w="1632"/>
            <w:vAlign w:val="center"/>
          </w:tcPr>
          <w:p>
            <w:r/>
            <w:r>
              <w:rPr>
                <w:b w:val="0"/>
                <w:sz w:val="16"/>
              </w:rPr>
              <w:t>Added arbitrary future GW horizon, DGW/BGW detection, completeness/warnings and scenario aggregation without inventing fixtures; no decision logic inside scenario layer.</w:t>
            </w:r>
          </w:p>
        </w:tc>
        <w:tc>
          <w:tcPr>
            <w:tcW w:type="dxa" w:w="1632"/>
            <w:vAlign w:val="center"/>
          </w:tcPr>
          <w:p>
            <w:r/>
            <w:r>
              <w:rPr>
                <w:b w:val="0"/>
                <w:sz w:val="16"/>
              </w:rPr>
              <w:t>`35657c4` — “Add future horizon scenario foundation”; 6 focused; full suite 238.</w:t>
            </w:r>
          </w:p>
        </w:tc>
        <w:tc>
          <w:tcPr>
            <w:tcW w:type="dxa" w:w="1632"/>
            <w:vAlign w:val="center"/>
          </w:tcPr>
          <w:p>
            <w:r/>
            <w:r>
              <w:rPr>
                <w:b w:val="0"/>
                <w:sz w:val="16"/>
              </w:rPr>
              <w:t>Scenario architecture</w:t>
            </w:r>
          </w:p>
        </w:tc>
        <w:tc>
          <w:tcPr>
            <w:tcW w:type="dxa" w:w="1632"/>
            <w:vAlign w:val="center"/>
          </w:tcPr>
          <w:p>
            <w:r/>
            <w:r>
              <w:rPr>
                <w:b w:val="0"/>
                <w:sz w:val="16"/>
              </w:rPr>
              <w:t>Forecast → horizon → scenario evaluation becomes an explicit layer before transfer/chip decisions.</w:t>
            </w:r>
          </w:p>
        </w:tc>
      </w:tr>
      <w:tr>
        <w:tc>
          <w:tcPr>
            <w:tcW w:type="dxa" w:w="1632"/>
            <w:vAlign w:val="center"/>
          </w:tcPr>
          <w:p>
            <w:r/>
            <w:r>
              <w:rPr>
                <w:b w:val="0"/>
                <w:sz w:val="16"/>
              </w:rPr>
              <w:t>15</w:t>
            </w:r>
          </w:p>
        </w:tc>
        <w:tc>
          <w:tcPr>
            <w:tcW w:type="dxa" w:w="1632"/>
            <w:vAlign w:val="center"/>
          </w:tcPr>
          <w:p>
            <w:r/>
            <w:r>
              <w:rPr>
                <w:b w:val="0"/>
                <w:sz w:val="16"/>
              </w:rPr>
              <w:t>Chip counterfactual strategy</w:t>
            </w:r>
          </w:p>
        </w:tc>
        <w:tc>
          <w:tcPr>
            <w:tcW w:type="dxa" w:w="1632"/>
            <w:vAlign w:val="center"/>
          </w:tcPr>
          <w:p>
            <w:r/>
            <w:r>
              <w:rPr>
                <w:b w:val="0"/>
                <w:sz w:val="16"/>
              </w:rPr>
              <w:t>Added season-aware Wildcard 1/2 rules and counterfactual evaluation for Wildcard, Free Hit, Bench Boost and Triple Captain; incremental value/opportunity cost and warnings.</w:t>
            </w:r>
          </w:p>
        </w:tc>
        <w:tc>
          <w:tcPr>
            <w:tcW w:type="dxa" w:w="1632"/>
            <w:vAlign w:val="center"/>
          </w:tcPr>
          <w:p>
            <w:r/>
            <w:r>
              <w:rPr>
                <w:b w:val="0"/>
                <w:sz w:val="16"/>
              </w:rPr>
              <w:t>`851bc7e` — “Add chip counterfactual strategy”; full suite 246.</w:t>
            </w:r>
          </w:p>
        </w:tc>
        <w:tc>
          <w:tcPr>
            <w:tcW w:type="dxa" w:w="1632"/>
            <w:vAlign w:val="center"/>
          </w:tcPr>
          <w:p>
            <w:r/>
            <w:r>
              <w:rPr>
                <w:b w:val="0"/>
                <w:sz w:val="16"/>
              </w:rPr>
              <w:t>Chip architecture</w:t>
            </w:r>
          </w:p>
        </w:tc>
        <w:tc>
          <w:tcPr>
            <w:tcW w:type="dxa" w:w="1632"/>
            <w:vAlign w:val="center"/>
          </w:tcPr>
          <w:p>
            <w:r/>
            <w:r>
              <w:rPr>
                <w:b w:val="0"/>
                <w:sz w:val="16"/>
              </w:rPr>
              <w:t>Single-chip counterfactuals first; bounded multi-chip search deferred; rules are season-aware and versioned.</w:t>
            </w:r>
          </w:p>
        </w:tc>
      </w:tr>
      <w:tr>
        <w:tc>
          <w:tcPr>
            <w:tcW w:type="dxa" w:w="1632"/>
            <w:vAlign w:val="center"/>
          </w:tcPr>
          <w:p>
            <w:r/>
            <w:r>
              <w:rPr>
                <w:b w:val="0"/>
                <w:sz w:val="16"/>
              </w:rPr>
              <w:t>16</w:t>
            </w:r>
          </w:p>
        </w:tc>
        <w:tc>
          <w:tcPr>
            <w:tcW w:type="dxa" w:w="1632"/>
            <w:vAlign w:val="center"/>
          </w:tcPr>
          <w:p>
            <w:r/>
            <w:r>
              <w:rPr>
                <w:b w:val="0"/>
                <w:sz w:val="16"/>
              </w:rPr>
              <w:t>Dream Team + multi-GW strategy</w:t>
            </w:r>
          </w:p>
        </w:tc>
        <w:tc>
          <w:tcPr>
            <w:tcW w:type="dxa" w:w="1632"/>
            <w:vAlign w:val="center"/>
          </w:tcPr>
          <w:p>
            <w:r/>
            <w:r>
              <w:rPr>
                <w:b w:val="0"/>
                <w:sz w:val="16"/>
              </w:rPr>
              <w:t>Dream Team endpoints/engine and orchestrator integration; separates weekly outcome vs season benchmark. Then added common-horizon multi-GW planning with roll flexibility, hit costs and incomplete-option rejection.</w:t>
            </w:r>
          </w:p>
        </w:tc>
        <w:tc>
          <w:tcPr>
            <w:tcW w:type="dxa" w:w="1632"/>
            <w:vAlign w:val="center"/>
          </w:tcPr>
          <w:p>
            <w:r/>
            <w:r>
              <w:rPr>
                <w:b w:val="0"/>
                <w:sz w:val="16"/>
              </w:rPr>
              <w:t>`b7508b5` — Dream Team/orchestration; 254 tests. `41e9b6c` — multi-GW strategy; 259 tests.</w:t>
            </w:r>
          </w:p>
        </w:tc>
        <w:tc>
          <w:tcPr>
            <w:tcW w:type="dxa" w:w="1632"/>
            <w:vAlign w:val="center"/>
          </w:tcPr>
          <w:p>
            <w:r/>
            <w:r>
              <w:rPr>
                <w:b w:val="0"/>
                <w:sz w:val="16"/>
              </w:rPr>
              <w:t>Strategy orchestration</w:t>
            </w:r>
          </w:p>
        </w:tc>
        <w:tc>
          <w:tcPr>
            <w:tcW w:type="dxa" w:w="1632"/>
            <w:vAlign w:val="center"/>
          </w:tcPr>
          <w:p>
            <w:r/>
            <w:r>
              <w:rPr>
                <w:b w:val="0"/>
                <w:sz w:val="16"/>
              </w:rPr>
              <w:t>Dream Team is benchmark/context, not future input; rivals and Dream Team do not replace the universal optimizer.</w:t>
            </w:r>
          </w:p>
        </w:tc>
      </w:tr>
      <w:tr>
        <w:tc>
          <w:tcPr>
            <w:tcW w:type="dxa" w:w="1632"/>
            <w:vAlign w:val="center"/>
          </w:tcPr>
          <w:p>
            <w:r/>
            <w:r>
              <w:rPr>
                <w:b w:val="0"/>
                <w:sz w:val="16"/>
              </w:rPr>
              <w:t>17</w:t>
            </w:r>
          </w:p>
        </w:tc>
        <w:tc>
          <w:tcPr>
            <w:tcW w:type="dxa" w:w="1632"/>
            <w:vAlign w:val="center"/>
          </w:tcPr>
          <w:p>
            <w:r/>
            <w:r>
              <w:rPr>
                <w:b w:val="0"/>
                <w:sz w:val="16"/>
              </w:rPr>
              <w:t>SQLite refresh reliability</w:t>
            </w:r>
          </w:p>
        </w:tc>
        <w:tc>
          <w:tcPr>
            <w:tcW w:type="dxa" w:w="1632"/>
            <w:vAlign w:val="center"/>
          </w:tcPr>
          <w:p>
            <w:r/>
            <w:r>
              <w:rPr>
                <w:b w:val="0"/>
                <w:sz w:val="16"/>
              </w:rPr>
              <w:t>17A atomic global refresh; 17B failure-path hardening; 17C idempotency coverage. Canonical writes roll back together; failed attempts remain auditable; repeated identical refreshes do not duplicate current/master records; changed records update in place; freshness points to latest ingestion.</w:t>
            </w:r>
          </w:p>
        </w:tc>
        <w:tc>
          <w:tcPr>
            <w:tcW w:type="dxa" w:w="1632"/>
            <w:vAlign w:val="center"/>
          </w:tcPr>
          <w:p>
            <w:r/>
            <w:r>
              <w:rPr>
                <w:b w:val="0"/>
                <w:sz w:val="16"/>
              </w:rPr>
              <w:t>`502809e`, `b4c20b1`, `fbacb99`; 64 persistence/refresh/idempotency tests; latest pre-18 checkpoint `fbacb99`.</w:t>
            </w:r>
          </w:p>
        </w:tc>
        <w:tc>
          <w:tcPr>
            <w:tcW w:type="dxa" w:w="1632"/>
            <w:vAlign w:val="center"/>
          </w:tcPr>
          <w:p>
            <w:r/>
            <w:r>
              <w:rPr>
                <w:b w:val="0"/>
                <w:sz w:val="16"/>
              </w:rPr>
              <w:t>Persistence reliability</w:t>
            </w:r>
          </w:p>
        </w:tc>
        <w:tc>
          <w:tcPr>
            <w:tcW w:type="dxa" w:w="1632"/>
            <w:vAlign w:val="center"/>
          </w:tcPr>
          <w:p>
            <w:r/>
            <w:r>
              <w:rPr>
                <w:b w:val="0"/>
                <w:sz w:val="16"/>
              </w:rPr>
              <w:t>Canonical transaction and ingestion audit boundary are explicit; FAILED refresh makes freshness STALE while preserving prior canonical data.</w:t>
            </w:r>
          </w:p>
        </w:tc>
      </w:tr>
      <w:tr>
        <w:tc>
          <w:tcPr>
            <w:tcW w:type="dxa" w:w="1632"/>
            <w:vAlign w:val="center"/>
          </w:tcPr>
          <w:p>
            <w:r/>
            <w:r>
              <w:rPr>
                <w:b w:val="0"/>
                <w:sz w:val="16"/>
              </w:rPr>
              <w:t>18</w:t>
            </w:r>
          </w:p>
        </w:tc>
        <w:tc>
          <w:tcPr>
            <w:tcW w:type="dxa" w:w="1632"/>
            <w:vAlign w:val="center"/>
          </w:tcPr>
          <w:p>
            <w:r/>
            <w:r>
              <w:rPr>
                <w:b w:val="0"/>
                <w:sz w:val="16"/>
              </w:rPr>
              <w:t>Production projection + strategy adapter</w:t>
            </w:r>
          </w:p>
        </w:tc>
        <w:tc>
          <w:tcPr>
            <w:tcW w:type="dxa" w:w="1632"/>
            <w:vAlign w:val="center"/>
          </w:tcPr>
          <w:p>
            <w:r/>
            <w:r>
              <w:rPr>
                <w:b w:val="0"/>
                <w:sz w:val="16"/>
              </w:rPr>
              <w:t>18A introduced point-in-time multi-GW production projection aggregation and corrected the `expected_points` → `horizon_expected_points` contract/leakage test. 18B connected `ProductionProjectionResult` to the strategy orchestrator, propagating warnings/completeness/model version while retaining legacy compatibility.</w:t>
            </w:r>
          </w:p>
        </w:tc>
        <w:tc>
          <w:tcPr>
            <w:tcW w:type="dxa" w:w="1632"/>
            <w:vAlign w:val="center"/>
          </w:tcPr>
          <w:p>
            <w:r/>
            <w:r>
              <w:rPr>
                <w:b w:val="0"/>
                <w:sz w:val="16"/>
              </w:rPr>
              <w:t>`0905d96` — production projection; `ce1c62c` — orchestrator adapter; 6 focused for 18A, 16 focused for 18B; full suite 282 after 18B.</w:t>
            </w:r>
          </w:p>
        </w:tc>
        <w:tc>
          <w:tcPr>
            <w:tcW w:type="dxa" w:w="1632"/>
            <w:vAlign w:val="center"/>
          </w:tcPr>
          <w:p>
            <w:r/>
            <w:r>
              <w:rPr>
                <w:b w:val="0"/>
                <w:sz w:val="16"/>
              </w:rPr>
              <w:t>Production integration</w:t>
            </w:r>
          </w:p>
        </w:tc>
        <w:tc>
          <w:tcPr>
            <w:tcW w:type="dxa" w:w="1632"/>
            <w:vAlign w:val="center"/>
          </w:tcPr>
          <w:p>
            <w:r/>
            <w:r>
              <w:rPr>
                <w:b w:val="0"/>
                <w:sz w:val="16"/>
              </w:rPr>
              <w:t>Production chain now has an explicit projection boundary; legacy orchestrator v1.2 remains while production adapter is v1.3; app.py remains unchanged.</w:t>
            </w:r>
          </w:p>
        </w:tc>
      </w:tr>
    </w:tbl>
    <w:p/>
    <w:p>
      <w:pPr>
        <w:pStyle w:val="Heading2"/>
      </w:pPr>
      <w:r>
        <w:t>B. Cross-cutting architecture and design decisions that must remain current</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
              <w:rPr>
                <w:b/>
                <w:sz w:val="16"/>
              </w:rPr>
              <w:t>Decision area</w:t>
            </w:r>
          </w:p>
        </w:tc>
        <w:tc>
          <w:tcPr>
            <w:tcW w:type="dxa" w:w="4896"/>
            <w:vAlign w:val="center"/>
          </w:tcPr>
          <w:p>
            <w:r/>
            <w:r>
              <w:rPr>
                <w:b/>
                <w:sz w:val="16"/>
              </w:rPr>
              <w:t>Current documented decision</w:t>
            </w:r>
          </w:p>
        </w:tc>
      </w:tr>
      <w:tr>
        <w:tc>
          <w:tcPr>
            <w:tcW w:type="dxa" w:w="4896"/>
            <w:vAlign w:val="center"/>
          </w:tcPr>
          <w:p>
            <w:r/>
            <w:r>
              <w:rPr>
                <w:b w:val="0"/>
                <w:sz w:val="16"/>
              </w:rPr>
              <w:t>Truth hierarchy</w:t>
            </w:r>
          </w:p>
        </w:tc>
        <w:tc>
          <w:tcPr>
            <w:tcW w:type="dxa" w:w="4896"/>
            <w:vAlign w:val="center"/>
          </w:tcPr>
          <w:p>
            <w:r/>
            <w:r>
              <w:rPr>
                <w:b w:val="0"/>
                <w:sz w:val="16"/>
              </w:rPr>
              <w:t>Official FPL API is authoritative for current FPL facts; derived values, model predictions and strategy decisions are separate classes. Missing decision-critical data triggers NO DATA = NO ANSWER.</w:t>
            </w:r>
          </w:p>
        </w:tc>
      </w:tr>
      <w:tr>
        <w:tc>
          <w:tcPr>
            <w:tcW w:type="dxa" w:w="4896"/>
            <w:vAlign w:val="center"/>
          </w:tcPr>
          <w:p>
            <w:r/>
            <w:r>
              <w:rPr>
                <w:b w:val="0"/>
                <w:sz w:val="16"/>
              </w:rPr>
              <w:t>Historical governance</w:t>
            </w:r>
          </w:p>
        </w:tc>
        <w:tc>
          <w:tcPr>
            <w:tcW w:type="dxa" w:w="4896"/>
            <w:vAlign w:val="center"/>
          </w:tcPr>
          <w:p>
            <w:r/>
            <w:r>
              <w:rPr>
                <w:b w:val="0"/>
                <w:sz w:val="16"/>
              </w:rPr>
              <w:t>Historical data is seeded once, validated, project-owned and reused; six seasons 2020/21–2025/26; canonical player grain season+player+fixture; exact duplicates collapse only after validation; conflicts fail; missing authoritative fields remain NULL; postponed GW gaps are preserved.</w:t>
            </w:r>
          </w:p>
        </w:tc>
      </w:tr>
      <w:tr>
        <w:tc>
          <w:tcPr>
            <w:tcW w:type="dxa" w:w="4896"/>
            <w:vAlign w:val="center"/>
          </w:tcPr>
          <w:p>
            <w:r/>
            <w:r>
              <w:rPr>
                <w:b w:val="0"/>
                <w:sz w:val="16"/>
              </w:rPr>
              <w:t>Statistical-first modelling</w:t>
            </w:r>
          </w:p>
        </w:tc>
        <w:tc>
          <w:tcPr>
            <w:tcW w:type="dxa" w:w="4896"/>
            <w:vAlign w:val="center"/>
          </w:tcPr>
          <w:p>
            <w:r/>
            <w:r>
              <w:rPr>
                <w:b w:val="0"/>
                <w:sz w:val="16"/>
              </w:rPr>
              <w:t>Transparent statistical baselines precede ML; model comparisons use leakage-safe expanding walk-forward validation; ensembles/ML are only adopted if out-of-sample evidence supports them.</w:t>
            </w:r>
          </w:p>
        </w:tc>
      </w:tr>
      <w:tr>
        <w:tc>
          <w:tcPr>
            <w:tcW w:type="dxa" w:w="4896"/>
            <w:vAlign w:val="center"/>
          </w:tcPr>
          <w:p>
            <w:r/>
            <w:r>
              <w:rPr>
                <w:b w:val="0"/>
                <w:sz w:val="16"/>
              </w:rPr>
              <w:t>Current vs historical state</w:t>
            </w:r>
          </w:p>
        </w:tc>
        <w:tc>
          <w:tcPr>
            <w:tcW w:type="dxa" w:w="4896"/>
            <w:vAlign w:val="center"/>
          </w:tcPr>
          <w:p>
            <w:r/>
            <w:r>
              <w:rPr>
                <w:b w:val="0"/>
                <w:sz w:val="16"/>
              </w:rPr>
              <w:t>Current-season prediction state is point-in-time and cutoff-based. Historical Prior is a separate layer: up to three completed PL seasons, 60/30/10 V1 baseline, explicit promoted/no-history handling, metadata retained, and deferred from baseline xG until validated.</w:t>
            </w:r>
          </w:p>
        </w:tc>
      </w:tr>
      <w:tr>
        <w:tc>
          <w:tcPr>
            <w:tcW w:type="dxa" w:w="4896"/>
            <w:vAlign w:val="center"/>
          </w:tcPr>
          <w:p>
            <w:r/>
            <w:r>
              <w:rPr>
                <w:b w:val="0"/>
                <w:sz w:val="16"/>
              </w:rPr>
              <w:t>Expected-goals architecture</w:t>
            </w:r>
          </w:p>
        </w:tc>
        <w:tc>
          <w:tcPr>
            <w:tcW w:type="dxa" w:w="4896"/>
            <w:vAlign w:val="center"/>
          </w:tcPr>
          <w:p>
            <w:r/>
            <w:r>
              <w:rPr>
                <w:b w:val="0"/>
                <w:sz w:val="16"/>
              </w:rPr>
              <w:t>Team strength, match expectations/xG, player expected points and strategy are separate layers. Baseline xG is transparent and benchmarked against naive prediction; sample-size shrinkage and recent-form extensions are validated incrementally.</w:t>
            </w:r>
          </w:p>
        </w:tc>
      </w:tr>
      <w:tr>
        <w:tc>
          <w:tcPr>
            <w:tcW w:type="dxa" w:w="4896"/>
            <w:vAlign w:val="center"/>
          </w:tcPr>
          <w:p>
            <w:r/>
            <w:r>
              <w:rPr>
                <w:b w:val="0"/>
                <w:sz w:val="16"/>
              </w:rPr>
              <w:t>FDR vs internal fixture model</w:t>
            </w:r>
          </w:p>
        </w:tc>
        <w:tc>
          <w:tcPr>
            <w:tcW w:type="dxa" w:w="4896"/>
            <w:vAlign w:val="center"/>
          </w:tcPr>
          <w:p>
            <w:r/>
            <w:r>
              <w:rPr>
                <w:b w:val="0"/>
                <w:sz w:val="16"/>
              </w:rPr>
              <w:t>Official FDR is a benchmark/context signal; the project maintains an independent internal fixture model rather than replacing modelling with FDR.</w:t>
            </w:r>
          </w:p>
        </w:tc>
      </w:tr>
      <w:tr>
        <w:tc>
          <w:tcPr>
            <w:tcW w:type="dxa" w:w="4896"/>
            <w:vAlign w:val="center"/>
          </w:tcPr>
          <w:p>
            <w:r/>
            <w:r>
              <w:rPr>
                <w:b w:val="0"/>
                <w:sz w:val="16"/>
              </w:rPr>
              <w:t>Refresh architecture</w:t>
            </w:r>
          </w:p>
        </w:tc>
        <w:tc>
          <w:tcPr>
            <w:tcW w:type="dxa" w:w="4896"/>
            <w:vAlign w:val="center"/>
          </w:tcPr>
          <w:p>
            <w:r/>
            <w:r>
              <w:rPr>
                <w:b w:val="0"/>
                <w:sz w:val="16"/>
              </w:rPr>
              <w:t>Prompt ≠ data refresh. Dataset-specific freshness controls when APIs are called; refresh manager performs ingestion; analysis consumes verified stored state. Historical data is immutable/slow-changing while manager, league and availability/news are more volatile.</w:t>
            </w:r>
          </w:p>
        </w:tc>
      </w:tr>
      <w:tr>
        <w:tc>
          <w:tcPr>
            <w:tcW w:type="dxa" w:w="4896"/>
            <w:vAlign w:val="center"/>
          </w:tcPr>
          <w:p>
            <w:r/>
            <w:r>
              <w:rPr>
                <w:b w:val="0"/>
                <w:sz w:val="16"/>
              </w:rPr>
              <w:t>Persistence architecture</w:t>
            </w:r>
          </w:p>
        </w:tc>
        <w:tc>
          <w:tcPr>
            <w:tcW w:type="dxa" w:w="4896"/>
            <w:vAlign w:val="center"/>
          </w:tcPr>
          <w:p>
            <w:r/>
            <w:r>
              <w:rPr>
                <w:b w:val="0"/>
                <w:sz w:val="16"/>
              </w:rPr>
              <w:t>SQLite is the first durable backend behind repository abstraction. Database models domains/grains rather than Python files. Strategy/business logic must not execute SQL directly. JSON remains prototype/test storage.</w:t>
            </w:r>
          </w:p>
        </w:tc>
      </w:tr>
      <w:tr>
        <w:tc>
          <w:tcPr>
            <w:tcW w:type="dxa" w:w="4896"/>
            <w:vAlign w:val="center"/>
          </w:tcPr>
          <w:p>
            <w:r/>
            <w:r>
              <w:rPr>
                <w:b w:val="0"/>
                <w:sz w:val="16"/>
              </w:rPr>
              <w:t>Lineage and audit</w:t>
            </w:r>
          </w:p>
        </w:tc>
        <w:tc>
          <w:tcPr>
            <w:tcW w:type="dxa" w:w="4896"/>
            <w:vAlign w:val="center"/>
          </w:tcPr>
          <w:p>
            <w:r/>
            <w:r>
              <w:rPr>
                <w:b w:val="0"/>
                <w:sz w:val="16"/>
              </w:rPr>
              <w:t>Source-to-target field mappings, transformations, ingestion execution, freshness, prediction snapshots and strategy audit are separate but linked concepts. Outputs must be traceable backward to verified inputs.</w:t>
            </w:r>
          </w:p>
        </w:tc>
      </w:tr>
      <w:tr>
        <w:tc>
          <w:tcPr>
            <w:tcW w:type="dxa" w:w="4896"/>
            <w:vAlign w:val="center"/>
          </w:tcPr>
          <w:p>
            <w:r/>
            <w:r>
              <w:rPr>
                <w:b w:val="0"/>
                <w:sz w:val="16"/>
              </w:rPr>
              <w:t>Universal optimizer</w:t>
            </w:r>
          </w:p>
        </w:tc>
        <w:tc>
          <w:tcPr>
            <w:tcW w:type="dxa" w:w="4896"/>
            <w:vAlign w:val="center"/>
          </w:tcPr>
          <w:p>
            <w:r/>
            <w:r>
              <w:rPr>
                <w:b w:val="0"/>
                <w:sz w:val="16"/>
              </w:rPr>
              <w:t>One FPL team has one underlying optimization problem. Multiple leagues, standings and rivals provide context; they do not create separate team decisions.</w:t>
            </w:r>
          </w:p>
        </w:tc>
      </w:tr>
      <w:tr>
        <w:tc>
          <w:tcPr>
            <w:tcW w:type="dxa" w:w="4896"/>
            <w:vAlign w:val="center"/>
          </w:tcPr>
          <w:p>
            <w:r/>
            <w:r>
              <w:rPr>
                <w:b w:val="0"/>
                <w:sz w:val="16"/>
              </w:rPr>
              <w:t>Manager/memory separation</w:t>
            </w:r>
          </w:p>
        </w:tc>
        <w:tc>
          <w:tcPr>
            <w:tcW w:type="dxa" w:w="4896"/>
            <w:vAlign w:val="center"/>
          </w:tcPr>
          <w:p>
            <w:r/>
            <w:r>
              <w:rPr>
                <w:b w:val="0"/>
                <w:sz w:val="16"/>
              </w:rPr>
              <w:t>Authoritative manager state is refreshed from FPL and persisted separately from conversational/strategic memory. User state and conversations are isolated per manager/user; global FPL data can be shared.</w:t>
            </w:r>
          </w:p>
        </w:tc>
      </w:tr>
      <w:tr>
        <w:tc>
          <w:tcPr>
            <w:tcW w:type="dxa" w:w="4896"/>
            <w:vAlign w:val="center"/>
          </w:tcPr>
          <w:p>
            <w:r/>
            <w:r>
              <w:rPr>
                <w:b w:val="0"/>
                <w:sz w:val="16"/>
              </w:rPr>
              <w:t>Risk/upside and chips</w:t>
            </w:r>
          </w:p>
        </w:tc>
        <w:tc>
          <w:tcPr>
            <w:tcW w:type="dxa" w:w="4896"/>
            <w:vAlign w:val="center"/>
          </w:tcPr>
          <w:p>
            <w:r/>
            <w:r>
              <w:rPr>
                <w:b w:val="0"/>
                <w:sz w:val="16"/>
              </w:rPr>
              <w:t>Expected value remains primary; controlled differentials/upside and chip opportunity cost are considered. No reckless weekly-prize chasing. No-transfer is valid. Chips are evaluated through counterfactual opportunity cost and future value.</w:t>
            </w:r>
          </w:p>
        </w:tc>
      </w:tr>
      <w:tr>
        <w:tc>
          <w:tcPr>
            <w:tcW w:type="dxa" w:w="4896"/>
            <w:vAlign w:val="center"/>
          </w:tcPr>
          <w:p>
            <w:r/>
            <w:r>
              <w:rPr>
                <w:b w:val="0"/>
                <w:sz w:val="16"/>
              </w:rPr>
              <w:t>Dream Team</w:t>
            </w:r>
          </w:p>
        </w:tc>
        <w:tc>
          <w:tcPr>
            <w:tcW w:type="dxa" w:w="4896"/>
            <w:vAlign w:val="center"/>
          </w:tcPr>
          <w:p>
            <w:r/>
            <w:r>
              <w:rPr>
                <w:b w:val="0"/>
                <w:sz w:val="16"/>
              </w:rPr>
              <w:t>Weekly Dream Team is a post-GW ceiling/benchmark signal; season-to-date Dream Team informs long-horizon learning/planning. Future Dream Team data is never used as same-GW prediction input.</w:t>
            </w:r>
          </w:p>
        </w:tc>
      </w:tr>
      <w:tr>
        <w:tc>
          <w:tcPr>
            <w:tcW w:type="dxa" w:w="4896"/>
            <w:vAlign w:val="center"/>
          </w:tcPr>
          <w:p>
            <w:r/>
            <w:r>
              <w:rPr>
                <w:b w:val="0"/>
                <w:sz w:val="16"/>
              </w:rPr>
              <w:t>Evaluation/learning</w:t>
            </w:r>
          </w:p>
        </w:tc>
        <w:tc>
          <w:tcPr>
            <w:tcW w:type="dxa" w:w="4896"/>
            <w:vAlign w:val="center"/>
          </w:tcPr>
          <w:p>
            <w:r/>
            <w:r>
              <w:rPr>
                <w:b w:val="0"/>
                <w:sz w:val="16"/>
              </w:rPr>
              <w:t>Forecast evaluation and decision evaluation are separate. Walk-forward evaluation is point-in-time and reusable; live current scenarios are calculated freshly rather than copied from same-GW historical outcomes.</w:t>
            </w:r>
          </w:p>
        </w:tc>
      </w:tr>
      <w:tr>
        <w:tc>
          <w:tcPr>
            <w:tcW w:type="dxa" w:w="4896"/>
            <w:vAlign w:val="center"/>
          </w:tcPr>
          <w:p>
            <w:r/>
            <w:r>
              <w:rPr>
                <w:b w:val="0"/>
                <w:sz w:val="16"/>
              </w:rPr>
              <w:t>Production orchestration</w:t>
            </w:r>
          </w:p>
        </w:tc>
        <w:tc>
          <w:tcPr>
            <w:tcW w:type="dxa" w:w="4896"/>
            <w:vAlign w:val="center"/>
          </w:tcPr>
          <w:p>
            <w:r/>
            <w:r>
              <w:rPr>
                <w:b w:val="0"/>
                <w:sz w:val="16"/>
              </w:rPr>
              <w:t>Long-term authoritative coordinator is `strategy_orchestrator.py`; legacy `strategy_engine.py` remains until its behavior is inventoried, migrated, and proven covered. Production flow is Official FPL/SQLite → freshness/validation → projections → manager state → transfers → captain → chips → multi-GW → rivals → recommendation.</w:t>
            </w:r>
          </w:p>
        </w:tc>
      </w:tr>
      <w:tr>
        <w:tc>
          <w:tcPr>
            <w:tcW w:type="dxa" w:w="4896"/>
            <w:vAlign w:val="center"/>
          </w:tcPr>
          <w:p>
            <w:r/>
            <w:r>
              <w:rPr>
                <w:b w:val="0"/>
                <w:sz w:val="16"/>
              </w:rPr>
              <w:t>Product/deployment direction</w:t>
            </w:r>
          </w:p>
        </w:tc>
        <w:tc>
          <w:tcPr>
            <w:tcW w:type="dxa" w:w="4896"/>
            <w:vAlign w:val="center"/>
          </w:tcPr>
          <w:p>
            <w:r/>
            <w:r>
              <w:rPr>
                <w:b w:val="0"/>
                <w:sz w:val="16"/>
              </w:rPr>
              <w:t>Cloud/mobile/web accessibility and ₹0 additional operating cost remain target constraints; UI must not own core strategy logic; app.py remains an interface vehicle and has not been modified in the current integration batches.</w:t>
            </w:r>
          </w:p>
        </w:tc>
      </w:tr>
    </w:tbl>
    <w:p/>
    <w:p>
      <w:pPr>
        <w:pStyle w:val="Heading2"/>
      </w:pPr>
      <w:r>
        <w:t>C. Reconciliation rule</w:t>
      </w:r>
    </w:p>
    <w:p>
      <w:r>
        <w:t>The batch table records implementation evolution; the decision/design table records the durable architecture. A later implementation may operationalize an earlier decision without replacing it. Where code and design differ, the repository is the implementation evidence and the Architecture Decision Log is the controlled record of the decision; discrepancies must be reconciled before treating a new baseline as complete.</w:t>
      </w:r>
    </w:p>
    <w:p>
      <w:pPr>
        <w:pStyle w:val="Heading2"/>
      </w:pPr>
      <w:r>
        <w:t>D. Current post-30-Sep implementation checkpoint</w:t>
      </w:r>
    </w:p>
    <w:p>
      <w:r>
        <w:t>The 30 September 2026 documentation checkpoint is the last formal baseline before the Batch 17/18 implementation work. Since then, the material changes are persistence reliability (17A–17C), production projection construction (18A), and production projection integration with the strategy orchestrator (18B). The latest known coding checkpoint is `ce1c62c`; the user-local full regression after 18B was 282 passed. The current architecture therefore documents both the full earlier evolution and these post-checkpoint implementation changes.</w:t>
      </w:r>
    </w:p>
    <w:sectPr w:rsidR="00FC693F" w:rsidRPr="0006063C" w:rsidSect="00034616">
      <w:footerReference w:type="default" r:id="rId9"/>
      <w:headerReference w:type="default" r:id="rId10"/>
      <w:pgSz w:w="12240" w:h="15840"/>
      <w:pgMar w:top="1080" w:right="1224" w:bottom="1080" w:left="1224" w:header="720" w:footer="720" w:gutter="0"/>
      <w:cols w:space="720"/>
      <w:docGrid w:linePitch="360"/>
    </w:sectPr>
    <w:p>
      <w:pPr>
        <w:pStyle w:val="Heading1"/>
      </w:pPr>
      <w:bookmarkStart w:id="1001" w:name="IndexTarget1001"/>
      <w:r>
        <w:t>1. Document Purpose</w:t>
      </w:r>
      <w:bookmarkEnd w:id="1001"/>
    </w:p>
    <w:p>
      <w:r>
        <w:t>This BRD defines the business objective, strategic scope, user experience, operating principles, trust model, competitive context, constraints and roadmap for FPL-Agent. It is a living document and must be updated when material requirements, architecture, data, strategy, storage, authentication, learning or operating decisions change.</w:t>
      </w:r>
    </w:p>
    <w:p>
      <w:pPr>
        <w:pStyle w:val="Heading1"/>
      </w:pPr>
      <w:bookmarkStart w:id="1002" w:name="IndexTarget1002"/>
      <w:r>
        <w:t>2. Business Objective and North Star</w:t>
      </w:r>
      <w:bookmarkEnd w:id="1002"/>
    </w:p>
    <w:p>
      <w:r>
        <w:t>Build a proactive FPL Strategist that analyses the user's team, fixtures, players, transfers, chips, rivals, current-season evidence, historical evidence and verified news/injury information when available, then produces actionable strategic plans rather than functioning as a simple question-answering bot.</w:t>
      </w:r>
    </w:p>
    <w:p>
      <w:r>
        <w:t>North-star objective: always optimize the user's single FPL team toward the best achievable overall FPL outcome by maximizing decision quality and expected points over the season.</w:t>
      </w:r>
    </w:p>
    <w:p>
      <w:pPr>
        <w:pStyle w:val="Heading1"/>
      </w:pPr>
      <w:bookmarkStart w:id="1003" w:name="IndexTarget1003"/>
      <w:r>
        <w:t>3. Strategic Principles</w:t>
      </w:r>
      <w:bookmarkEnd w:id="1003"/>
    </w:p>
    <w:p>
      <w:pPr>
        <w:pStyle w:val="ListBullet"/>
      </w:pPr>
      <w:r>
        <w:t>One FPL team, one core optimizer: the strategist does not create different transfer/captain/chip actions for different mini-leagues.</w:t>
      </w:r>
    </w:p>
    <w:p>
      <w:pPr>
        <w:pStyle w:val="ListBullet"/>
      </w:pPr>
      <w:r>
        <w:t>Mini-leagues are competitive context and analytics views. League standings, rivals and payout structures may affect risk analysis, but do not create separate optimization objectives.</w:t>
      </w:r>
    </w:p>
    <w:p>
      <w:pPr>
        <w:pStyle w:val="ListBullet"/>
      </w:pPr>
      <w:r>
        <w:t>The agent must be proactive. It should recommend transfers, rolling, hits, captain/vice, bench order, chip timing and multi-GW plans without waiting for the user to ask every time.</w:t>
      </w:r>
    </w:p>
    <w:p>
      <w:pPr>
        <w:pStyle w:val="ListBullet"/>
      </w:pPr>
      <w:r>
        <w:t>A no-transfer / roll recommendation is a valid strategic outcome.</w:t>
      </w:r>
    </w:p>
    <w:p>
      <w:pPr>
        <w:pStyle w:val="ListBullet"/>
      </w:pPr>
      <w:r>
        <w:t>Risk should be controlled and evidence-based. Differentials are used for upside where justified by expected value, uncertainty and competitive context—not as automatic gambling for weekly prizes.</w:t>
      </w:r>
    </w:p>
    <w:p>
      <w:pPr>
        <w:pStyle w:val="ListBullet"/>
      </w:pPr>
      <w:r>
        <w:t>The strategist should consider both expected points and ceiling/upside, especially where league/rank gaps make upside strategically relevant.</w:t>
      </w:r>
    </w:p>
    <w:p>
      <w:pPr>
        <w:pStyle w:val="ListBullet"/>
      </w:pPr>
      <w:r>
        <w:t>Official FPL data is the authoritative source for FPL facts. The LLM interprets verified structured data and must not invent authoritative facts.</w:t>
      </w:r>
    </w:p>
    <w:p>
      <w:pPr>
        <w:pStyle w:val="ListBullet"/>
      </w:pPr>
      <w:r>
        <w:t>NO DATA = NO ANSWER: if decision-critical data is unavailable or unverified, the agent must say so and exclude unsupported conclusions.</w:t>
      </w:r>
    </w:p>
    <w:p>
      <w:pPr>
        <w:pStyle w:val="ListBullet"/>
      </w:pPr>
      <w:r>
        <w:t>Historical hindsight must never leak into a same-GW recommendation.</w:t>
      </w:r>
    </w:p>
    <w:p>
      <w:pPr>
        <w:pStyle w:val="ListBullet"/>
      </w:pPr>
      <w:r>
        <w:t>Strategic learning must be stored as structured data and prediction/outcome records, not only in conversational memory.</w:t>
      </w:r>
    </w:p>
    <w:p>
      <w:pPr>
        <w:pStyle w:val="Heading1"/>
      </w:pPr>
      <w:bookmarkStart w:id="1004" w:name="IndexTarget1004"/>
      <w:r>
        <w:t>4. User Experience and Operating Model</w:t>
      </w:r>
      <w:bookmarkEnd w:id="1004"/>
    </w:p>
    <w:p>
      <w:pPr>
        <w:pStyle w:val="ListBullet"/>
      </w:pPr>
      <w:r>
        <w:t>Cloud-first access from mobile, MacBook, laptop and other supported devices.</w:t>
      </w:r>
    </w:p>
    <w:p>
      <w:pPr>
        <w:pStyle w:val="ListBullet"/>
      </w:pPr>
      <w:r>
        <w:t>Persistent application state must survive restarts.</w:t>
      </w:r>
    </w:p>
    <w:p>
      <w:pPr>
        <w:pStyle w:val="ListBullet"/>
      </w:pPr>
      <w:r>
        <w:t>Persistent chat history must support multiple named conversations/sessions so the season can be navigated naturally.</w:t>
      </w:r>
    </w:p>
    <w:p>
      <w:pPr>
        <w:pStyle w:val="ListBullet"/>
      </w:pPr>
      <w:r>
        <w:t>Example sessions include GW5 Strategy, GW6 Midweek Strategy, GW6 Pre-Deadline, Transfer Discussion and Season Strategy.</w:t>
      </w:r>
    </w:p>
    <w:p>
      <w:pPr>
        <w:pStyle w:val="ListBullet"/>
      </w:pPr>
      <w:r>
        <w:t>Conversation history and structured strategic memory are separate concepts. Chat history preserves the conversation; strategic memory preserves durable decisions, recommendations, outcomes and important state.</w:t>
      </w:r>
    </w:p>
    <w:p>
      <w:pPr>
        <w:pStyle w:val="ListBullet"/>
      </w:pPr>
      <w:r>
        <w:t>The agent should not repeatedly ask the same questions across a gameweek. It should retain verified state and proactively surface decisions.</w:t>
      </w:r>
    </w:p>
    <w:p>
      <w:pPr>
        <w:pStyle w:val="ListBullet"/>
      </w:pPr>
      <w:r>
        <w:t>Target operating cadence is approximately three strategic analyses per gameweek: post-GW, midweek refresh and pre-deadline final.</w:t>
      </w:r>
    </w:p>
    <w:p>
      <w:pPr>
        <w:pStyle w:val="ListBullet"/>
      </w:pPr>
      <w:r>
        <w:t>The same strategist should proactively refresh its view when the user requests an analysis; continuous always-on execution is not required.</w:t>
      </w:r>
    </w:p>
    <w:p>
      <w:pPr>
        <w:pStyle w:val="Heading1"/>
      </w:pPr>
      <w:bookmarkStart w:id="1005" w:name="IndexTarget1005"/>
      <w:r>
        <w:t>5. Core Strategic Capabilities</w:t>
      </w:r>
      <w:bookmarkEnd w:id="1005"/>
    </w:p>
    <w:p>
      <w:pPr>
        <w:pStyle w:val="ListBullet"/>
      </w:pPr>
      <w:r>
        <w:t>Squad assessment and player role classification.</w:t>
      </w:r>
    </w:p>
    <w:p>
      <w:pPr>
        <w:pStyle w:val="ListBullet"/>
      </w:pPr>
      <w:r>
        <w:t>Transfer recommendation: buy, sell, roll, multiple transfers, or hit where justified.</w:t>
      </w:r>
    </w:p>
    <w:p>
      <w:pPr>
        <w:pStyle w:val="ListBullet"/>
      </w:pPr>
      <w:r>
        <w:t>Starting XI and bench-order optimization.</w:t>
      </w:r>
    </w:p>
    <w:p>
      <w:pPr>
        <w:pStyle w:val="ListBullet"/>
      </w:pPr>
      <w:r>
        <w:t>Captain and vice-captain selection using expected points plus ceiling/upside and uncertainty.</w:t>
      </w:r>
    </w:p>
    <w:p>
      <w:pPr>
        <w:pStyle w:val="ListBullet"/>
      </w:pPr>
      <w:r>
        <w:t>Wildcard, Free Hit, Bench Boost and Triple Captain planning.</w:t>
      </w:r>
    </w:p>
    <w:p>
      <w:pPr>
        <w:pStyle w:val="ListBullet"/>
      </w:pPr>
      <w:r>
        <w:t>Multi-GW planning, including the immediate next GW and a 3–5 GW planning horizon.</w:t>
      </w:r>
    </w:p>
    <w:p>
      <w:pPr>
        <w:pStyle w:val="ListBullet"/>
      </w:pPr>
      <w:r>
        <w:t>Budget, bank, team value, free transfers, transfer history and squad-structure constraints.</w:t>
      </w:r>
    </w:p>
    <w:p>
      <w:pPr>
        <w:pStyle w:val="ListBullet"/>
      </w:pPr>
      <w:r>
        <w:t>Blank/Double Gameweek planning.</w:t>
      </w:r>
    </w:p>
    <w:p>
      <w:pPr>
        <w:pStyle w:val="ListBullet"/>
      </w:pPr>
      <w:r>
        <w:t>Controlled differential strategy.</w:t>
      </w:r>
    </w:p>
    <w:p>
      <w:pPr>
        <w:pStyle w:val="ListBullet"/>
      </w:pPr>
      <w:r>
        <w:t>Rival-aware context and gap analysis.</w:t>
      </w:r>
    </w:p>
    <w:p>
      <w:pPr>
        <w:pStyle w:val="ListBullet"/>
      </w:pPr>
      <w:r>
        <w:t>Expected-points projections with transparent inputs and uncertainty.</w:t>
      </w:r>
    </w:p>
    <w:p>
      <w:pPr>
        <w:pStyle w:val="ListBullet"/>
      </w:pPr>
      <w:r>
        <w:t>Post-GW evaluation of recommendations versus actual outcomes.</w:t>
      </w:r>
    </w:p>
    <w:p>
      <w:pPr>
        <w:pStyle w:val="ListBullet"/>
      </w:pPr>
      <w:r>
        <w:t>Production player projections are now generated through a dedicated point-in-time multi-Gameweek projection pipeline before strategic comparison.</w:t>
      </w:r>
    </w:p>
    <w:p>
      <w:pPr>
        <w:pStyle w:val="ListBullet"/>
      </w:pPr>
      <w:r>
        <w:t>The strategic orchestrator can consume the authoritative production projection result directly, preserving projection completeness and warnings into the final decision package.</w:t>
      </w:r>
    </w:p>
    <w:p>
      <w:pPr>
        <w:pStyle w:val="Heading1"/>
      </w:pPr>
      <w:bookmarkStart w:id="1006" w:name="IndexTarget1006"/>
      <w:r>
        <w:t>6. Mini-Leagues, Rivals and Prize Structures</w:t>
      </w:r>
      <w:bookmarkEnd w:id="1006"/>
    </w:p>
    <w:p>
      <w:r>
        <w:t>A user may place the same FPL team into multiple paid or unpaid mini-leagues. The product must therefore represent the relationship as User → FPL Team → multiple Leagues → standings/rivals/payout context.</w:t>
      </w:r>
    </w:p>
    <w:p>
      <w:pPr>
        <w:pStyle w:val="ListBullet"/>
      </w:pPr>
      <w:r>
        <w:t>League configuration must be flexible; payout structures must not be hard-coded.</w:t>
      </w:r>
    </w:p>
    <w:p>
      <w:pPr>
        <w:pStyle w:val="ListBullet"/>
      </w:pPr>
      <w:r>
        <w:t>League standings and rival snapshots are contextual inputs to risk and opportunity analysis.</w:t>
      </w:r>
    </w:p>
    <w:p>
      <w:pPr>
        <w:pStyle w:val="ListBullet"/>
      </w:pPr>
      <w:r>
        <w:t>The core optimizer remains universal for the user's FPL team.</w:t>
      </w:r>
    </w:p>
    <w:p>
      <w:pPr>
        <w:pStyle w:val="ListBullet"/>
      </w:pPr>
      <w:r>
        <w:t>The system must not claim future rival transfers, squads, captains or chip use as facts unless actually observed after the relevant deadline.</w:t>
      </w:r>
    </w:p>
    <w:p>
      <w:pPr>
        <w:pStyle w:val="ListBullet"/>
      </w:pPr>
      <w:r>
        <w:t>Historical rival behaviour may be derived from completed-gameweek snapshots.</w:t>
      </w:r>
    </w:p>
    <w:p>
      <w:pPr>
        <w:pStyle w:val="ListBullet"/>
      </w:pPr>
      <w:r>
        <w:t>Weekly prizes and season prizes can inform competitive context, but the agent must not automatically switch to reckless short-term strategies.</w:t>
      </w:r>
    </w:p>
    <w:p>
      <w:pPr>
        <w:pStyle w:val="Heading1"/>
      </w:pPr>
      <w:bookmarkStart w:id="1007" w:name="IndexTarget1007"/>
      <w:r>
        <w:t>7. Prediction, Fixture and Expected-Points Direction</w:t>
      </w:r>
      <w:bookmarkEnd w:id="1007"/>
    </w:p>
    <w:p>
      <w:pPr>
        <w:pStyle w:val="ListBullet"/>
      </w:pPr>
      <w:r>
        <w:t>The Historical Prior Layer is diagnostic-first in its initial implementation: it exposes historical team-strength evidence but is not automatically fed into the baseline expected-goals formula.</w:t>
      </w:r>
    </w:p>
    <w:p>
      <w:pPr>
        <w:pStyle w:val="ListBullet"/>
      </w:pPr>
      <w:r>
        <w:t>For the initial methodology, the Historical Prior Layer may use up to the three most recent completed Premier League seasons before the target season.</w:t>
      </w:r>
    </w:p>
    <w:p>
      <w:pPr>
        <w:pStyle w:val="ListBullet"/>
      </w:pPr>
      <w:r>
        <w:t>Initial historical recency weights are 60% for the previous season, 30% for two seasons prior and 10% for three seasons prior. These are transparent baseline assumptions and are not treated as permanently optimal.</w:t>
      </w:r>
    </w:p>
    <w:p>
      <w:pPr>
        <w:pStyle w:val="ListBullet"/>
      </w:pPr>
      <w:r>
        <w:t>Historical prior outputs must retain season coverage and sample-size metadata so confidence and data availability remain visible to downstream modelling.</w:t>
      </w:r>
    </w:p>
    <w:p>
      <w:pPr>
        <w:pStyle w:val="ListBullet"/>
      </w:pPr>
      <w:r>
        <w:t>The modelling architecture must distinguish training history from point-in-time prediction state: training history may calibrate model parameters, while fixture-state features must contain only information available before the target kickoff.</w:t>
      </w:r>
    </w:p>
    <w:p>
      <w:pPr>
        <w:pStyle w:val="ListBullet"/>
      </w:pPr>
      <w:r>
        <w:t>Historical prior information, when introduced, must be evaluated as a separate modelling layer rather than by contaminating current-season cumulative or recent-form features.</w:t>
      </w:r>
    </w:p>
    <w:p>
      <w:pPr>
        <w:pStyle w:val="ListBullet"/>
      </w:pPr>
      <w:r>
        <w:t>Maintain official FPL FDR and an independently derived internal fixture model side-by-side.</w:t>
      </w:r>
    </w:p>
    <w:p>
      <w:pPr>
        <w:pStyle w:val="ListBullet"/>
      </w:pPr>
      <w:r>
        <w:t>Treat official FDR as a benchmark signal, not as an assumed reproduction of an undisclosed formula.</w:t>
      </w:r>
    </w:p>
    <w:p>
      <w:pPr>
        <w:pStyle w:val="ListBullet"/>
      </w:pPr>
      <w:r>
        <w:t>Build transparent team-strength components from observed results, underlying metrics, recent trend, home/away context, opponent strength, normalization and sample-size treatment.</w:t>
      </w:r>
    </w:p>
    <w:p>
      <w:pPr>
        <w:pStyle w:val="ListBullet"/>
      </w:pPr>
      <w:r>
        <w:t>Eventually connect fixture intelligence to expected goals and then expected player FPL points.</w:t>
      </w:r>
    </w:p>
    <w:p>
      <w:pPr>
        <w:pStyle w:val="ListBullet"/>
      </w:pPr>
      <w:r>
        <w:t>Expected points should account for expected minutes/start probability, goals, assists, clean sheets, saves, defensive contributions, bonus, penalties, set pieces, position, home/away, opponent, team strengths, recent underlying performance, tactical role, rotation, injuries and fixture congestion.</w:t>
      </w:r>
    </w:p>
    <w:p>
      <w:pPr>
        <w:pStyle w:val="ListBullet"/>
      </w:pPr>
      <w:r>
        <w:t>Use walk-forward/out-of-sample validation before trusting model weights or blending models.</w:t>
      </w:r>
    </w:p>
    <w:p>
      <w:pPr>
        <w:pStyle w:val="Heading1"/>
      </w:pPr>
      <w:bookmarkStart w:id="1008" w:name="IndexTarget1008"/>
      <w:r>
        <w:t>8. Data Trust and Provenance</w:t>
      </w:r>
      <w:bookmarkEnd w:id="1008"/>
    </w:p>
    <w:p>
      <w:pPr>
        <w:pStyle w:val="ListBullet"/>
      </w:pPr>
      <w:r>
        <w:t>Level 1: official FPL API or validated FPL-authoritative records.</w:t>
      </w:r>
    </w:p>
    <w:p>
      <w:pPr>
        <w:pStyle w:val="ListBullet"/>
      </w:pPr>
      <w:r>
        <w:t>Level 2: derived calculations from trusted data.</w:t>
      </w:r>
    </w:p>
    <w:p>
      <w:pPr>
        <w:pStyle w:val="ListBullet"/>
      </w:pPr>
      <w:r>
        <w:t>Level 3: user-provided current information, explicitly labelled and temporary.</w:t>
      </w:r>
    </w:p>
    <w:p>
      <w:pPr>
        <w:pStyle w:val="ListBullet"/>
      </w:pPr>
      <w:r>
        <w:t>Level 4: LLM inference for interpretation only.</w:t>
      </w:r>
    </w:p>
    <w:p>
      <w:pPr>
        <w:pStyle w:val="ListBullet"/>
      </w:pPr>
      <w:r>
        <w:t>Decision-critical data must carry source/provenance and timestamp information.</w:t>
      </w:r>
    </w:p>
    <w:p>
      <w:pPr>
        <w:pStyle w:val="ListBullet"/>
      </w:pPr>
      <w:r>
        <w:t>When stale data is not decision-critical, the last verified value may be shown with its timestamp.</w:t>
      </w:r>
    </w:p>
    <w:p>
      <w:pPr>
        <w:pStyle w:val="ListBullet"/>
      </w:pPr>
      <w:r>
        <w:t>When stale/missing data is decision-critical, the agent should expose the last verified value and request confirmation/correction rather than silently guessing.</w:t>
      </w:r>
    </w:p>
    <w:p>
      <w:pPr>
        <w:pStyle w:val="Heading1"/>
      </w:pPr>
      <w:bookmarkStart w:id="1009" w:name="IndexTarget1009"/>
      <w:r>
        <w:t>9. Historical Data and Source Governance</w:t>
      </w:r>
      <w:bookmarkEnd w:id="1009"/>
    </w:p>
    <w:p>
      <w:pPr>
        <w:pStyle w:val="Heading2"/>
      </w:pPr>
      <w:r>
        <w:t>9.1 Historical Prior Layer Methodology</w:t>
      </w:r>
    </w:p>
    <w:p>
      <w:pPr>
        <w:pStyle w:val="ListBullet"/>
      </w:pPr>
      <w:r>
        <w:t>Historical Prior Layer inputs are restricted to completed Premier League seasons before the target season; target-season and post-cutoff observations are excluded.</w:t>
      </w:r>
    </w:p>
    <w:p>
      <w:pPr>
        <w:pStyle w:val="ListBullet"/>
      </w:pPr>
      <w:r>
        <w:t>The initial historical window is up to three completed seasons, represented with 60% / 30% / 10% recency weights from most recent to oldest season used.</w:t>
      </w:r>
    </w:p>
    <w:p>
      <w:pPr>
        <w:pStyle w:val="ListBullet"/>
      </w:pPr>
      <w:r>
        <w:t>Historical evidence is represented separately from current-season point-in-time state. Historical seasons must not be concatenated into current-season cumulative statistics or recent-five form.</w:t>
      </w:r>
    </w:p>
    <w:p>
      <w:pPr>
        <w:pStyle w:val="ListBullet"/>
      </w:pPr>
      <w:r>
        <w:t>The current-season recent-five feature remains current-season only. Any future cross-season recent window would be a separate feature requiring separate validation.</w:t>
      </w:r>
    </w:p>
    <w:p>
      <w:pPr>
        <w:pStyle w:val="ListBullet"/>
      </w:pPr>
      <w:r>
        <w:t>Promoted teams without usable prior Premier League evidence receive no fabricated Premier League prior. The prior is explicitly unavailable until validated evidence exists.</w:t>
      </w:r>
    </w:p>
    <w:p>
      <w:pPr>
        <w:pStyle w:val="ListBullet"/>
      </w:pPr>
      <w:r>
        <w:t>Missing historical prior information is preserved as missing and may cause the prediction layer to fall back to validated current-season and league-baseline information; the system must not silently substitute guesses.</w:t>
      </w:r>
    </w:p>
    <w:p>
      <w:pPr>
        <w:pStyle w:val="ListBullet"/>
      </w:pPr>
      <w:r>
        <w:t>Historical observed performance and underlying metrics remain separate signals. No assumption is made that one is inherently superior without validation.</w:t>
      </w:r>
    </w:p>
    <w:p>
      <w:pPr>
        <w:pStyle w:val="ListBullet"/>
      </w:pPr>
      <w:r>
        <w:t>Historical prior sample size, season count and availability must be retained as metadata.</w:t>
      </w:r>
    </w:p>
    <w:p>
      <w:pPr>
        <w:pStyle w:val="ListBullet"/>
      </w:pPr>
      <w:r>
        <w:t>No separate historical shrinkage parameter is introduced in V1. Any future shrinkage or decay tuning must be selected through leakage-safe walk-forward validation.</w:t>
      </w:r>
    </w:p>
    <w:p>
      <w:pPr>
        <w:pStyle w:val="ListBullet"/>
      </w:pPr>
      <w:r>
        <w:t>The Historical Prior Layer remains outside the production baseline expected-goals formula until leakage-safe validation demonstrates incremental value over the current-season-state baseline.</w:t>
      </w:r>
    </w:p>
    <w:p>
      <w:pPr>
        <w:pStyle w:val="ListBullet"/>
      </w:pPr>
      <w:r>
        <w:t>Current-season point-in-time state and historical prior information are separate concepts. Historical seasons must not be concatenated into the current-season state.</w:t>
      </w:r>
    </w:p>
    <w:p>
      <w:pPr>
        <w:pStyle w:val="ListBullet"/>
      </w:pPr>
      <w:r>
        <w:t>The future Historical Prior Layer may provide previous-season and multi-season context, but its recency, decay, sample-size treatment and promoted/relegated handling must be explicitly defined and validated.</w:t>
      </w:r>
    </w:p>
    <w:p>
      <w:pPr>
        <w:pStyle w:val="ListBullet"/>
      </w:pPr>
      <w:r>
        <w:t>The current-season recent-five feature remains restricted to matches from the current season; cross-season matches must not be silently mixed into recent form.</w:t>
      </w:r>
    </w:p>
    <w:p>
      <w:pPr>
        <w:pStyle w:val="ListBullet"/>
      </w:pPr>
      <w:r>
        <w:t>Historical priors must not enter the baseline expected-goals formula until their incremental value is demonstrated through leakage-safe walk-forward validation.</w:t>
      </w:r>
    </w:p>
    <w:p>
      <w:pPr>
        <w:pStyle w:val="ListBullet"/>
      </w:pPr>
      <w:r>
        <w:t>Use six completed historical seasons for the current modelling foundation: 2020/21 through 2025/26.</w:t>
      </w:r>
    </w:p>
    <w:p>
      <w:pPr>
        <w:pStyle w:val="ListBullet"/>
      </w:pPr>
      <w:r>
        <w:t>Historical external sources are bootstrap inputs; the project should retain its own verified historical store and progressively build 2026/27 onward internally.</w:t>
      </w:r>
    </w:p>
    <w:p>
      <w:pPr>
        <w:pStyle w:val="ListBullet"/>
      </w:pPr>
      <w:r>
        <w:t>The core historical player/team truth remains FPL-authoritative.</w:t>
      </w:r>
    </w:p>
    <w:p>
      <w:pPr>
        <w:pStyle w:val="ListBullet"/>
      </w:pPr>
      <w:r>
        <w:t>Historical player data uses a canonical one-player-per-fixture grain. Exact duplicate rows may be collapsed only after confirming identical content; conflicting duplicates are validation failures.</w:t>
      </w:r>
    </w:p>
    <w:p>
      <w:pPr>
        <w:pStyle w:val="ListBullet"/>
      </w:pPr>
      <w:r>
        <w:t>Missing historical authoritative fields remain NULL; they must not be fabricated.</w:t>
      </w:r>
    </w:p>
    <w:p>
      <w:pPr>
        <w:pStyle w:val="ListBullet"/>
      </w:pPr>
      <w:r>
        <w:t>Secondary sources such as Understat may later be evaluated as separate modelling features, but must not silently replace FPL-authoritative fields.</w:t>
      </w:r>
    </w:p>
    <w:p>
      <w:pPr>
        <w:pStyle w:val="ListBullet"/>
      </w:pPr>
      <w:r>
        <w:t>2022/23 GW7 is treated as a legitimate postponed/blank gameweek representation; missing fixtures are not fabricated.</w:t>
      </w:r>
    </w:p>
    <w:p>
      <w:pPr>
        <w:pStyle w:val="Heading1"/>
      </w:pPr>
      <w:bookmarkStart w:id="1010" w:name="IndexTarget1010"/>
      <w:r>
        <w:t>10. Learning and Evaluation</w:t>
      </w:r>
      <w:bookmarkEnd w:id="1010"/>
    </w:p>
    <w:p>
      <w:pPr>
        <w:pStyle w:val="ListBullet"/>
      </w:pPr>
      <w:r>
        <w:t>Store prediction snapshots before fixtures/gameweeks begin.</w:t>
      </w:r>
    </w:p>
    <w:p>
      <w:pPr>
        <w:pStyle w:val="ListBullet"/>
      </w:pPr>
      <w:r>
        <w:t>Store actual outcomes after completion.</w:t>
      </w:r>
    </w:p>
    <w:p>
      <w:pPr>
        <w:pStyle w:val="ListBullet"/>
      </w:pPr>
      <w:r>
        <w:t>Retain model version and relevant inputs for auditability.</w:t>
      </w:r>
    </w:p>
    <w:p>
      <w:pPr>
        <w:pStyle w:val="ListBullet"/>
      </w:pPr>
      <w:r>
        <w:t>Use walk-forward evaluation to prevent look-ahead bias.</w:t>
      </w:r>
    </w:p>
    <w:p>
      <w:pPr>
        <w:pStyle w:val="ListBullet"/>
      </w:pPr>
      <w:r>
        <w:t>Do not reactively change model weights because of one or two gameweeks.</w:t>
      </w:r>
    </w:p>
    <w:p>
      <w:pPr>
        <w:pStyle w:val="ListBullet"/>
      </w:pPr>
      <w:r>
        <w:t>Dream Team is a post-GW evaluation signal, not a same-GW prediction input.</w:t>
      </w:r>
    </w:p>
    <w:p>
      <w:pPr>
        <w:pStyle w:val="ListBullet"/>
      </w:pPr>
      <w:r>
        <w:t>Evaluate recommendation quality using both predictive metrics and downstream FPL decision outcomes.</w:t>
      </w:r>
    </w:p>
    <w:p>
      <w:pPr>
        <w:pStyle w:val="Heading1"/>
      </w:pPr>
      <w:bookmarkStart w:id="1011" w:name="IndexTarget1011"/>
      <w:r>
        <w:t>11. Cost and Deployment Constraints</w:t>
      </w:r>
      <w:bookmarkEnd w:id="1011"/>
    </w:p>
    <w:p>
      <w:pPr>
        <w:pStyle w:val="ListBullet"/>
      </w:pPr>
      <w:r>
        <w:t>Target additional operating cost: ₹0.</w:t>
      </w:r>
    </w:p>
    <w:p>
      <w:pPr>
        <w:pStyle w:val="ListBullet"/>
      </w:pPr>
      <w:r>
        <w:t>Prefer official/public FPL data and free-tier/public infrastructure.</w:t>
      </w:r>
    </w:p>
    <w:p>
      <w:pPr>
        <w:pStyle w:val="ListBullet"/>
      </w:pPr>
      <w:r>
        <w:t>Cloud-first persistence is required.</w:t>
      </w:r>
    </w:p>
    <w:p>
      <w:pPr>
        <w:pStyle w:val="ListBullet"/>
      </w:pPr>
      <w:r>
        <w:t>No FPL authentication is required for the MVP/core.</w:t>
      </w:r>
    </w:p>
    <w:p>
      <w:pPr>
        <w:pStyle w:val="ListBullet"/>
      </w:pPr>
      <w:r>
        <w:t>Authenticated/private endpoints may be considered later if required.</w:t>
      </w:r>
    </w:p>
    <w:p>
      <w:pPr>
        <w:pStyle w:val="Heading1"/>
      </w:pPr>
      <w:bookmarkStart w:id="1012" w:name="IndexTarget1012"/>
      <w:r>
        <w:t>12. Multi-User Direction</w:t>
      </w:r>
      <w:bookmarkEnd w:id="1012"/>
    </w:p>
    <w:p>
      <w:pPr>
        <w:pStyle w:val="ListBullet"/>
      </w:pPr>
      <w:r>
        <w:t>Future product operation supports multiple login IDs.</w:t>
      </w:r>
    </w:p>
    <w:p>
      <w:pPr>
        <w:pStyle w:val="ListBullet"/>
      </w:pPr>
      <w:r>
        <w:t>Each user can have a different FPL team ID and one or more mini-leagues.</w:t>
      </w:r>
    </w:p>
    <w:p>
      <w:pPr>
        <w:pStyle w:val="ListBullet"/>
      </w:pPr>
      <w:r>
        <w:t>Conversations, strategic memory, manager state and recommendations must be isolated per user.</w:t>
      </w:r>
    </w:p>
    <w:p>
      <w:pPr>
        <w:pStyle w:val="ListBullet"/>
      </w:pPr>
      <w:r>
        <w:t>Global FPL datasets should be shared rather than duplicated per user.</w:t>
      </w:r>
    </w:p>
    <w:p>
      <w:pPr>
        <w:pStyle w:val="ListBullet"/>
      </w:pPr>
      <w:r>
        <w:t>No cross-user data leakage is acceptable.</w:t>
      </w:r>
    </w:p>
    <w:p>
      <w:pPr>
        <w:pStyle w:val="Heading1"/>
      </w:pPr>
      <w:bookmarkStart w:id="1013" w:name="IndexTarget1013"/>
      <w:r>
        <w:t>13. Current Development Checkpoint</w:t>
      </w:r>
      <w:bookmarkEnd w:id="1013"/>
    </w:p>
    <w:p>
      <w:pPr>
        <w:pStyle w:val="ListBullet"/>
      </w:pPr>
      <w:r>
        <w:t>Latest verified implementation checkpoint: ce1c62c — Integrate production projections with strategy orchestrator.</w:t>
      </w:r>
    </w:p>
    <w:p>
      <w:pPr>
        <w:pStyle w:val="ListBullet"/>
      </w:pPr>
      <w:r>
        <w:t>Transparent team-strength layer is implemented.</w:t>
      </w:r>
    </w:p>
    <w:p>
      <w:pPr>
        <w:pStyle w:val="ListBullet"/>
      </w:pPr>
      <w:r>
        <w:t>Historical team ingestion is validated for 2020/21–2025/26: 2,280 matches.</w:t>
      </w:r>
    </w:p>
    <w:p>
      <w:pPr>
        <w:pStyle w:val="ListBullet"/>
      </w:pPr>
      <w:r>
        <w:t>Historical player ingestion is validated for 2020/21–2025/26: 163,394 canonical player-fixture records.</w:t>
      </w:r>
    </w:p>
    <w:p>
      <w:pPr>
        <w:pStyle w:val="ListBullet"/>
      </w:pPr>
      <w:r>
        <w:t>Known exact duplicate rows in 2025/26 were safely handled.</w:t>
      </w:r>
    </w:p>
    <w:p>
      <w:pPr>
        <w:pStyle w:val="ListBullet"/>
      </w:pPr>
      <w:r>
        <w:t>The next development sequence is Historical Prior Layer implementation → rebuild walk-forward validation dataset → rerun expected-goals evaluation and leakage-safe shrinkage calibration → integrate validated historical priors only if incremental value is demonstrated.</w:t>
      </w:r>
    </w:p>
    <w:p>
      <w:pPr>
        <w:pStyle w:val="ListBullet"/>
      </w:pPr>
      <w:r>
        <w:t>Do not modify app.py prematurely; the architecture must remain interface-independent and modular.</w:t>
      </w:r>
    </w:p>
    <w:p>
      <w:pPr>
        <w:pStyle w:val="ListBullet"/>
      </w:pPr>
      <w:r>
        <w:t>Batch 18A (commit 0905d96) completed the production projection pipeline: completed fixtures strictly before the target Gameweek form the point-in-time team state; future fixtures in the explicit horizon are projected into player fixture and multi-GW expected points.</w:t>
      </w:r>
    </w:p>
    <w:p>
      <w:pPr>
        <w:pStyle w:val="ListBullet"/>
      </w:pPr>
      <w:r>
        <w:t>Batch 18B (commit ce1c62c) integrated that production projection contract into the strategy orchestrator through an explicit adapter, including target/horizon validation and propagation of projection completeness and warnings.</w:t>
      </w:r>
    </w:p>
    <w:p>
      <w:pPr>
        <w:pStyle w:val="ListBullet"/>
      </w:pPr>
      <w:r>
        <w:t>The production projection result is a runtime model contract, not a new database entity. Persistence of prediction snapshots and decision audit records remains governed by the approved database model.</w:t>
      </w:r>
    </w:p>
    <w:p>
      <w:pPr>
        <w:pStyle w:val="Heading2"/>
      </w:pPr>
      <w:r>
        <w:t>13.1 Database Architecture Checkpoint</w:t>
      </w:r>
    </w:p>
    <w:p>
      <w:pPr>
        <w:pStyle w:val="ListBullet"/>
      </w:pPr>
      <w:r>
        <w:t>SQLite schema and repository foundations are now implemented behind the repository abstraction. The database layer is a durable persistence foundation; refresh/application integration remains separately staged.</w:t>
      </w:r>
    </w:p>
    <w:p>
      <w:pPr>
        <w:pStyle w:val="ListBullet"/>
      </w:pPr>
      <w:r>
        <w:t>The approved logical data model separates global/reference data, current-season facts, historical facts, manager state, league/rival state, rules, operational ingestion/freshness, predictions, strategy and lineage.</w:t>
      </w:r>
    </w:p>
    <w:p>
      <w:pPr>
        <w:pStyle w:val="ListBullet"/>
      </w:pPr>
      <w:r>
        <w:t>The SQLite schema and repository foundation have been implemented and tested. Production projection and strategy orchestration now exist as deterministic runtime layers above the modelling stack; broader refresh integration and application wiring remain staged.</w:t>
      </w:r>
    </w:p>
    <w:p>
      <w:pPr>
        <w:pStyle w:val="Heading1"/>
      </w:pPr>
      <w:bookmarkStart w:id="1014" w:name="IndexTarget1014"/>
      <w:r>
        <w:t>14. Development Working Agreement</w:t>
      </w:r>
      <w:bookmarkEnd w:id="1014"/>
    </w:p>
    <w:p>
      <w:pPr>
        <w:pStyle w:val="ListBullet"/>
      </w:pPr>
      <w:r>
        <w:t>User is a Python beginner; explanations should be step-by-step and code should include comments that teach the relevant Python concepts.</w:t>
      </w:r>
    </w:p>
    <w:p>
      <w:pPr>
        <w:pStyle w:val="ListBullet"/>
      </w:pPr>
      <w:r>
        <w:t>When replacing a module, provide the complete file rather than partial snippets.</w:t>
      </w:r>
    </w:p>
    <w:p>
      <w:pPr>
        <w:pStyle w:val="ListBullet"/>
      </w:pPr>
      <w:r>
        <w:t>Work in small steps and ask the user to run a small command/set of commands and return the output.</w:t>
      </w:r>
    </w:p>
    <w:p>
      <w:pPr>
        <w:pStyle w:val="ListBullet"/>
      </w:pPr>
      <w:r>
        <w:t>Run local tests before committing.</w:t>
      </w:r>
    </w:p>
    <w:p>
      <w:pPr>
        <w:pStyle w:val="ListBullet"/>
      </w:pPr>
      <w:r>
        <w:t>Commit only relevant files; do not use git add . when unrelated untracked files exist.</w:t>
      </w:r>
    </w:p>
    <w:p>
      <w:pPr>
        <w:pStyle w:val="ListBullet"/>
      </w:pPr>
      <w:r>
        <w:t>Push successful checkpoints to GitHub.</w:t>
      </w:r>
    </w:p>
    <w:p>
      <w:pPr>
        <w:pStyle w:val="ListBullet"/>
      </w:pPr>
      <w:r>
        <w:t>Keep the documentation synchronized at meaningful architecture/data-model/strategy/storage/authentication checkpoints.</w:t>
      </w:r>
    </w:p>
    <w:p>
      <w:pPr>
        <w:pStyle w:val="Heading1"/>
      </w:pPr>
      <w:bookmarkStart w:id="1015" w:name="IndexTarget1015"/>
      <w:r>
        <w:t>15. Thread Reconciliation — v0.8</w:t>
      </w:r>
      <w:bookmarkEnd w:id="1015"/>
    </w:p>
    <w:p>
      <w:r>
        <w:t>The v0.8 checkpoint was explicitly reconstructed against the accumulated project discussion rather than simply editing the previous document. The following material areas were checked and incorporated:</w:t>
      </w:r>
    </w:p>
    <w:p>
      <w:pPr>
        <w:pStyle w:val="ListBullet"/>
      </w:pPr>
      <w:r>
        <w:t>North-star objective and single-team universal optimization.</w:t>
      </w:r>
    </w:p>
    <w:p>
      <w:pPr>
        <w:pStyle w:val="ListBullet"/>
      </w:pPr>
      <w:r>
        <w:t>Multi-league context model and flexible prize structures.</w:t>
      </w:r>
    </w:p>
    <w:p>
      <w:pPr>
        <w:pStyle w:val="ListBullet"/>
      </w:pPr>
      <w:r>
        <w:t>Proactive three-analysis-per-GW operating cadence.</w:t>
      </w:r>
    </w:p>
    <w:p>
      <w:pPr>
        <w:pStyle w:val="ListBullet"/>
      </w:pPr>
      <w:r>
        <w:t>Persistent conversations plus separate strategic memory.</w:t>
      </w:r>
    </w:p>
    <w:p>
      <w:pPr>
        <w:pStyle w:val="ListBullet"/>
      </w:pPr>
      <w:r>
        <w:t>Authoritative state verification after user-reported transfers.</w:t>
      </w:r>
    </w:p>
    <w:p>
      <w:pPr>
        <w:pStyle w:val="ListBullet"/>
      </w:pPr>
      <w:r>
        <w:t>NO DATA = NO ANSWER and provenance/auditability.</w:t>
      </w:r>
    </w:p>
    <w:p>
      <w:pPr>
        <w:pStyle w:val="ListBullet"/>
      </w:pPr>
      <w:r>
        <w:t>₹0 target and cloud-first/mobile-access requirement.</w:t>
      </w:r>
    </w:p>
    <w:p>
      <w:pPr>
        <w:pStyle w:val="ListBullet"/>
      </w:pPr>
      <w:r>
        <w:t>Shared global data versus isolated user data.</w:t>
      </w:r>
    </w:p>
    <w:p>
      <w:pPr>
        <w:pStyle w:val="ListBullet"/>
      </w:pPr>
      <w:r>
        <w:t>Risk-adjusted upside rather than automatic weekly gambling.</w:t>
      </w:r>
    </w:p>
    <w:p>
      <w:pPr>
        <w:pStyle w:val="ListBullet"/>
      </w:pPr>
      <w:r>
        <w:t>Chip opportunity planning and multi-GW strategy.</w:t>
      </w:r>
    </w:p>
    <w:p>
      <w:pPr>
        <w:pStyle w:val="ListBullet"/>
      </w:pPr>
      <w:r>
        <w:t>Dream Team as post-GW evaluation only.</w:t>
      </w:r>
    </w:p>
    <w:p>
      <w:pPr>
        <w:pStyle w:val="ListBullet"/>
      </w:pPr>
      <w:r>
        <w:t>Six-season walk-forward historical modelling plan.</w:t>
      </w:r>
    </w:p>
    <w:p>
      <w:pPr>
        <w:pStyle w:val="ListBullet"/>
      </w:pPr>
      <w:r>
        <w:t>FPL-authoritative historical truth, canonical player-fixture grain, NULL policy and duplicate validation.</w:t>
      </w:r>
    </w:p>
    <w:p>
      <w:pPr>
        <w:pStyle w:val="ListBullet"/>
      </w:pPr>
      <w:r>
        <w:t>Internal team-strength and fixture-model architecture.</w:t>
      </w:r>
    </w:p>
    <w:p>
      <w:pPr>
        <w:pStyle w:val="ListBullet"/>
      </w:pPr>
      <w:r>
        <w:t>Prediction snapshots, actual outcomes, model versions and leakage controls.</w:t>
      </w:r>
    </w:p>
    <w:p>
      <w:pPr>
        <w:pStyle w:val="ListBullet"/>
      </w:pPr>
      <w:r>
        <w:t>Current code/Git checkpoint and modular development workflow.</w:t>
      </w:r>
    </w:p>
    <w:p>
      <w:pPr>
        <w:pStyle w:val="ListBullet"/>
      </w:pPr>
      <w:r>
        <w:t>Roadmap ordering after completion of historical team/player and team-strength layers.</w:t>
      </w:r>
    </w:p>
    <w:p>
      <w:pPr>
        <w:pStyle w:val="Heading2"/>
      </w:pPr>
      <w:r>
        <w:t>16.1 Persistence and Database Foundation</w:t>
      </w:r>
    </w:p>
    <w:p>
      <w:pPr>
        <w:pStyle w:val="ListBullet"/>
      </w:pPr>
      <w:r>
        <w:t>Complete the approved repository-grounded SQLite schema before creating the production database.</w:t>
      </w:r>
    </w:p>
    <w:p>
      <w:pPr>
        <w:pStyle w:val="ListBullet"/>
      </w:pPr>
      <w:r>
        <w:t>Keep strategy and business logic independent of SQLite through a repository/data-store abstraction.</w:t>
      </w:r>
    </w:p>
    <w:p>
      <w:pPr>
        <w:pStyle w:val="ListBullet"/>
      </w:pPr>
      <w:r>
        <w:t>Persist authoritative data, derived data, model outputs and strategy decisions as distinct layers with explicit lineage.</w:t>
      </w:r>
    </w:p>
    <w:p>
      <w:pPr>
        <w:pStyle w:val="ListBullet"/>
      </w:pPr>
      <w:r>
        <w:t>Maintain separate current-season point-in-time tables and immutable historical canonical tables.</w:t>
      </w:r>
    </w:p>
    <w:p>
      <w:pPr>
        <w:pStyle w:val="ListBullet"/>
      </w:pPr>
      <w:r>
        <w:t>Implement ingestion_runs as the authoritative source-retrieval/execution record and dataset_freshness as the resulting freshness state.</w:t>
      </w:r>
    </w:p>
    <w:p>
      <w:pPr>
        <w:pStyle w:val="ListBullet"/>
      </w:pPr>
      <w:r>
        <w:t>Define explicit current-to-historical promotion and freeze procedures so the completed 2026/27 season can become project-owned historical truth without a one-off end-of-season integration.</w:t>
      </w:r>
    </w:p>
    <w:p>
      <w:pPr>
        <w:pStyle w:val="ListNumber"/>
      </w:pPr>
      <w:r>
        <w:t>Completed: production projection pipeline and initial production-facing strategy orchestration integration.</w:t>
      </w:r>
    </w:p>
    <w:p>
      <w:pPr>
        <w:pStyle w:val="ListNumber"/>
      </w:pPr>
      <w:r>
        <w:t>Validate production projection and orchestrator outputs through leakage-safe evaluation before expanding model complexity or application/UI wiring.</w:t>
      </w:r>
    </w:p>
    <w:p>
      <w:pPr>
        <w:pStyle w:val="Heading1"/>
      </w:pPr>
      <w:r>
        <w:t>Documentation Governance and Change Control</w:t>
      </w:r>
    </w:p>
    <w:p>
      <w:pPr>
        <w:pStyle w:val="ListBullet"/>
      </w:pPr>
      <w:r>
        <w:t>Documentation is maintained as a living set: BRD, Functional Specification, Technical Specification and Architecture &amp; Decision Log must remain mutually consistent with the repository and each other.</w:t>
      </w:r>
    </w:p>
    <w:p>
      <w:pPr>
        <w:pStyle w:val="ListBullet"/>
      </w:pPr>
      <w:r>
        <w:t>Material architecture, data-model, persistence, trust, modelling or operating decisions require a versioned documentation update and, where applicable, an Architecture Decision Log entry before the implementation is treated as the new baseline.</w:t>
      </w:r>
    </w:p>
    <w:p>
      <w:pPr>
        <w:pStyle w:val="ListBullet"/>
      </w:pPr>
      <w:r>
        <w:t>Git commit history is the implementation evidence; the documentation change log records the corresponding design/documentation checkpoint in IST. Documentation must not invent historical timestamps that cannot be verified.</w:t>
      </w:r>
    </w:p>
    <w:p>
      <w:pPr>
        <w:pStyle w:val="ListBullet"/>
      </w:pPr>
      <w:r>
        <w:t>The project documentation set should be stored under a repository documentation directory so future sessions can review the current design baseline directly from version control.</w:t>
      </w:r>
    </w:p>
    <w:p>
      <w:pPr>
        <w:pStyle w:val="Heading1"/>
      </w:pPr>
      <w:bookmarkStart w:id="1016" w:name="IndexTarget1016"/>
      <w:r>
        <w:t>16. Roadmap</w:t>
      </w:r>
      <w:bookmarkEnd w:id="1016"/>
    </w:p>
    <w:p>
      <w:pPr>
        <w:pStyle w:val="ListNumber"/>
      </w:pPr>
      <w:r>
        <w:t>Formalize Historical Prior Layer specification and leakage-safe validation.</w:t>
      </w:r>
    </w:p>
    <w:p>
      <w:pPr>
        <w:pStyle w:val="ListNumber"/>
      </w:pPr>
      <w:r>
        <w:t>Complete internal fixture model.</w:t>
      </w:r>
    </w:p>
    <w:p>
      <w:pPr>
        <w:pStyle w:val="ListNumber"/>
      </w:pPr>
      <w:r>
        <w:t>Integrate official FPL FDR as a benchmark signal.</w:t>
      </w:r>
    </w:p>
    <w:p>
      <w:pPr>
        <w:pStyle w:val="ListNumber"/>
      </w:pPr>
      <w:r>
        <w:t>Create prediction snapshots and provenance storage.</w:t>
      </w:r>
    </w:p>
    <w:p>
      <w:pPr>
        <w:pStyle w:val="ListNumber"/>
      </w:pPr>
      <w:r>
        <w:t>Build expected-goals foundation and leakage-safe player features.</w:t>
      </w:r>
    </w:p>
    <w:p>
      <w:pPr>
        <w:pStyle w:val="ListNumber"/>
      </w:pPr>
      <w:r>
        <w:t>Build expected-points model.</w:t>
      </w:r>
    </w:p>
    <w:p>
      <w:pPr>
        <w:pStyle w:val="ListNumber"/>
      </w:pPr>
      <w:r>
        <w:t>Build transfer, XI, captain and chip strategy engines.</w:t>
      </w:r>
    </w:p>
    <w:p>
      <w:pPr>
        <w:pStyle w:val="ListNumber"/>
      </w:pPr>
      <w:r>
        <w:t>Add multi-GW simulation/planning.</w:t>
      </w:r>
    </w:p>
    <w:p>
      <w:pPr>
        <w:pStyle w:val="ListNumber"/>
      </w:pPr>
      <w:r>
        <w:t>Add rival context and verified news/injury intelligence.</w:t>
      </w:r>
    </w:p>
    <w:p>
      <w:pPr>
        <w:pStyle w:val="ListNumber"/>
      </w:pPr>
      <w:r>
        <w:t>Add model evaluation and learning/ensemble only after sufficient walk-forward evidence.</w:t>
      </w:r>
    </w:p>
    <w:p>
      <w:pPr>
        <w:pStyle w:val="ListNumber"/>
      </w:pPr>
      <w:r>
        <w:t>Add multi-user authentication and production-grade cloud persistence.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FPL-Agent | v1.5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FPL-Agent — Business Requirements Document</dc:title>
  <dc:subject>Business requirements, strategic objectives and product scope</dc:subject>
  <dc:creator>python-docx</dc:creator>
  <cp:keywords/>
  <dc:description>Reformatted to standardized four-page front matter; substantive v0.8 content preserved.</dc:description>
  <cp:lastModifiedBy/>
  <cp:revision>1</cp:revision>
  <dcterms:created xsi:type="dcterms:W3CDTF">2013-12-23T23:15:00Z</dcterms:created>
  <dcterms:modified xsi:type="dcterms:W3CDTF">2013-12-23T23:15:00Z</dcterms:modified>
  <cp:category/>
  <cp:version>v0.9</cp:version>
</cp:coreProperties>
</file>