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96"/>
        <w:jc w:val="center"/>
      </w:pPr>
      <w:r>
        <w:rPr>
          <w:b/>
          <w:sz w:val="50"/>
        </w:rPr>
        <w:t>FPL-Agent — Architecture &amp; Decision Log</w:t>
      </w:r>
    </w:p>
    <w:p>
      <w:pPr>
        <w:spacing w:before="280"/>
        <w:jc w:val="center"/>
      </w:pPr>
      <w:r>
        <w:rPr>
          <w:sz w:val="26"/>
        </w:rPr>
        <w:t>Living record of modelling, data, architecture, trust and product decisions</w:t>
      </w:r>
    </w:p>
    <w:p>
      <w:pPr>
        <w:spacing w:before="3744"/>
        <w:jc w:val="center"/>
      </w:pPr>
      <w:r>
        <w:rPr>
          <w:i/>
          <w:sz w:val="20"/>
        </w:rPr>
        <w:t>Living Project Documentation</w:t>
      </w:r>
    </w:p>
    <w:p>
      <w:pPr>
        <w:spacing w:before="160"/>
        <w:jc w:val="center"/>
      </w:pPr>
      <w:r>
        <w:t>Document version: v0.8</w:t>
      </w:r>
    </w:p>
    <w:p>
      <w:pPr>
        <w:jc w:val="center"/>
      </w:pPr>
      <w:r>
        <w:t>30 September 2026, 22:19:49 IST, current checkpoint</w:t>
      </w:r>
    </w:p>
    <w:p>
      <w:r>
        <w:br w:type="page"/>
      </w:r>
    </w:p>
    <w:p>
      <w:pPr>
        <w:pStyle w:val="Heading1"/>
      </w:pPr>
      <w:bookmarkStart w:id="1000" w:name="IndexTarget1000"/>
      <w:r>
        <w:t>Change Log</w:t>
      </w:r>
      <w:bookmarkEnd w:id="1000"/>
    </w:p>
    <w:p>
      <w:pPr>
        <w:spacing w:after="160"/>
      </w:pPr>
      <w:r>
        <w:rPr>
          <w:sz w:val="18"/>
        </w:rPr>
        <w:t>Version history is recorded using IST. Where a historical documentation version could not be mapped to an exact work-session timestamp from the recovered record, no timestamp is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Date &amp; Time (IST)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v0.1–v0.4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Earlier work-session checkpoints; exact version mapping not independently recoverable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Pre-v0.5 architecture/model evolution. Earlier decisions were incorporated into the synchronized Architecture &amp; Decision Log; no version-specific timestamp is invented where the work-session record does not explicitly identify the documentation version.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Development checkpoint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22 September 2026, 21:17:08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Commit 9dd06da — Add structured player history. Retained as an explicit pre-v0.5 architecture/data checkpoint without retroactively assigning it to a specific documentation version.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v0.5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24 September 2026, 19:43:54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Prior synchronized documentation checkpoint.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v0.6 / ADL v0.1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25 September 2026, 01:11:24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Created the Architecture &amp; Decision Log and recorded historical-data governance, statistical-first forecasting, walk-forward evaluation, project-owned retention, research-reference policy, prediction auditability and xGC validation decisions.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v0.7 / ADL v0.2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11:33:48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Recorded AD-013–AD-016 covering FPL-authoritative historical truth, secondary-source deferral, canonical historical player grain and the historical player ingestion checkpoint.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v0.8 / ADL v0.3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11:43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Recorded the full reconciliation of strategic, product, data, trust, cloud, multi-user, conversation, memory, risk/upside, chip, Dream Team, historical and modelling decisions.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v0.9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current checkpoint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Reformatted documentation set with standardized title, Change Log, Index and main-content page structure; corrected recovered timestamps while preserving the v0.8 decision register.</w:t>
            </w:r>
          </w:p>
        </w:tc>
      </w:tr>
      <w:tr>
        <w:tc>
          <w:tcPr>
            <w:tcW w:type="dxa" w:w="3264"/>
          </w:tcPr>
          <w:p>
            <w:r>
              <w:t>v0.5 / ADL v0.4</w:t>
            </w:r>
          </w:p>
        </w:tc>
        <w:tc>
          <w:tcPr>
            <w:tcW w:type="dxa" w:w="3264"/>
          </w:tcPr>
          <w:p>
            <w:r>
              <w:t>26 September 2026, 19:08:00 IST</w:t>
            </w:r>
          </w:p>
        </w:tc>
        <w:tc>
          <w:tcPr>
            <w:tcW w:type="dxa" w:w="3264"/>
          </w:tcPr>
          <w:p>
            <w:r>
              <w:t>Recorded AD-031 for the baseline expected-goals architecture: transparent statistical baseline, sample-size shrinkage, walk-forward calibration, naive benchmark, explicit exclusions and separation of team strength, match model, player expected points and strategy layers.</w:t>
            </w:r>
          </w:p>
        </w:tc>
      </w:tr>
      <w:tr>
        <w:tc>
          <w:tcPr>
            <w:tcW w:type="dxa" w:w="3264"/>
          </w:tcPr>
          <w:p>
            <w:r>
              <w:t>v0.6</w:t>
            </w:r>
          </w:p>
        </w:tc>
        <w:tc>
          <w:tcPr>
            <w:tcW w:type="dxa" w:w="3264"/>
          </w:tcPr>
          <w:p>
            <w:r>
              <w:t>27 September 2026</w:t>
            </w:r>
          </w:p>
        </w:tc>
        <w:tc>
          <w:tcPr>
            <w:tcW w:type="dxa" w:w="3264"/>
          </w:tcPr>
          <w:p>
            <w:r>
              <w:t>Recorded AD-032: separate Historical Prior Layer from Current-Season Point-in-Time State; documented recent-five boundary, promoted/relegated handling, leakage controls and staged validation before production use.</w:t>
            </w:r>
          </w:p>
        </w:tc>
      </w:tr>
      <w:tr>
        <w:tc>
          <w:tcPr>
            <w:tcW w:type="dxa" w:w="3264"/>
          </w:tcPr>
          <w:p>
            <w:r>
              <w:t>v0.7</w:t>
            </w:r>
          </w:p>
        </w:tc>
        <w:tc>
          <w:tcPr>
            <w:tcW w:type="dxa" w:w="3264"/>
          </w:tcPr>
          <w:p>
            <w:r>
              <w:t>27 September 2026 14:25 IST</w:t>
            </w:r>
          </w:p>
        </w:tc>
        <w:tc>
          <w:tcPr>
            <w:tcW w:type="dxa" w:w="3264"/>
          </w:tcPr>
          <w:p>
            <w:r>
              <w:t>Recorded AD-033 and locked the Historical Prior Layer methodology and next implementation/validation sequence.</w:t>
            </w:r>
          </w:p>
        </w:tc>
      </w:tr>
      <w:tr>
        <w:tc>
          <w:tcPr>
            <w:tcW w:type="dxa" w:w="3264"/>
          </w:tcPr>
          <w:p>
            <w:r>
              <w:t>v0.8</w:t>
            </w:r>
          </w:p>
        </w:tc>
        <w:tc>
          <w:tcPr>
            <w:tcW w:type="dxa" w:w="3264"/>
          </w:tcPr>
          <w:p>
            <w:r>
              <w:t>30 September 2026, 22:19:49 IST</w:t>
            </w:r>
          </w:p>
        </w:tc>
        <w:tc>
          <w:tcPr>
            <w:tcW w:type="dxa" w:w="3264"/>
          </w:tcPr>
          <w:p>
            <w:r>
              <w:t>Recorded the database architecture checkpoint and documentation governance decisions: SQLite-first persistence behind a repository abstraction, domain-based schema rather than code-file mirroring, current/historical separation, ingestion versus freshness separation, explicit lineage, canonical grains, season-finalization promotion, immutable historical truth and repository-hosted documentation as the durable design baseline.</w:t>
            </w:r>
          </w:p>
        </w:tc>
      </w:tr>
    </w:tbl>
    <w:p>
      <w:r>
        <w:br w:type="page"/>
      </w:r>
    </w:p>
    <w:p>
      <w:pPr>
        <w:pStyle w:val="Heading1"/>
      </w:pPr>
      <w:r>
        <w:t>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326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264"/>
          </w:tcPr>
          <w:p>
            <w:r>
              <w:rPr>
                <w:b/>
              </w:rPr>
              <w:t>Page No.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Change Log</w:t>
            </w:r>
          </w:p>
        </w:tc>
        <w:tc>
          <w:tcPr>
            <w:tcW w:type="dxa" w:w="3264"/>
          </w:tcPr>
          <w:p>
            <w:r>
              <w:t>2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1. Decision Register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2. Key Current Decisions by Domain</w:t>
            </w:r>
          </w:p>
        </w:tc>
        <w:tc>
          <w:tcPr>
            <w:tcW w:type="dxa" w:w="3264"/>
          </w:tcPr>
          <w:p>
            <w:r>
              <w:t>9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3. v0.8 Thread Reconciliation Record</w:t>
            </w:r>
          </w:p>
        </w:tc>
        <w:tc>
          <w:tcPr>
            <w:tcW w:type="dxa" w:w="3264"/>
          </w:tcPr>
          <w:p>
            <w:r>
              <w:t>10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4. Current Implementation Checkpoint</w:t>
            </w:r>
          </w:p>
        </w:tc>
        <w:tc>
          <w:tcPr>
            <w:tcW w:type="dxa" w:w="3264"/>
          </w:tcPr>
          <w:p>
            <w:r>
              <w:t>10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4.1 Database Architecture Checkpoint</w:t>
            </w:r>
          </w:p>
        </w:tc>
        <w:tc>
          <w:tcPr>
            <w:tcW w:type="dxa" w:w="3264"/>
          </w:tcPr>
          <w:p>
            <w:r>
              <w:t>10</w:t>
            </w:r>
          </w:p>
        </w:tc>
      </w:tr>
      <w:tr>
        <w:tc>
          <w:tcPr>
            <w:tcW w:type="dxa" w:w="3264"/>
          </w:tcPr>
          <w:p>
            <w:r>
              <w:t>7</w:t>
            </w:r>
          </w:p>
        </w:tc>
        <w:tc>
          <w:tcPr>
            <w:tcW w:type="dxa" w:w="3264"/>
          </w:tcPr>
          <w:p>
            <w:r>
              <w:t>Documentation Governance and Change Control</w:t>
            </w:r>
          </w:p>
        </w:tc>
        <w:tc>
          <w:tcPr>
            <w:tcW w:type="dxa" w:w="3264"/>
          </w:tcPr>
          <w:p>
            <w:r>
              <w:t>11</w:t>
            </w:r>
          </w:p>
        </w:tc>
      </w:tr>
      <w:tr>
        <w:tc>
          <w:tcPr>
            <w:tcW w:type="dxa" w:w="3264"/>
          </w:tcPr>
          <w:p>
            <w:r>
              <w:t>8</w:t>
            </w:r>
          </w:p>
        </w:tc>
        <w:tc>
          <w:tcPr>
            <w:tcW w:type="dxa" w:w="3264"/>
          </w:tcPr>
          <w:p>
            <w:r>
              <w:t>5. Next Decisions to Record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</w:tbl>
    <w:p/>
    <w:p/>
    <w:p/>
    <w:p/>
    <w:p/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  <w:p>
      <w:pPr>
        <w:pStyle w:val="Heading1"/>
      </w:pPr>
      <w:bookmarkStart w:id="1001" w:name="IndexTarget1001"/>
      <w:r>
        <w:t>1. Decision Register</w:t>
      </w:r>
      <w:bookmarkEnd w:id="100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Decision</w:t>
            </w:r>
          </w:p>
        </w:tc>
        <w:tc>
          <w:tcPr>
            <w:tcW w:type="dxa" w:w="3360"/>
          </w:tcPr>
          <w:p>
            <w:r>
              <w:t>Decision / Rationale</w:t>
            </w:r>
          </w:p>
        </w:tc>
      </w:tr>
      <w:tr>
        <w:tc>
          <w:tcPr>
            <w:tcW w:type="dxa" w:w="3360"/>
          </w:tcPr>
          <w:p>
            <w:r>
              <w:t>AD-001</w:t>
            </w:r>
          </w:p>
        </w:tc>
        <w:tc>
          <w:tcPr>
            <w:tcW w:type="dxa" w:w="3360"/>
          </w:tcPr>
          <w:p>
            <w:r>
              <w:t>Historical source quality</w:t>
            </w:r>
          </w:p>
        </w:tc>
        <w:tc>
          <w:tcPr>
            <w:tcW w:type="dxa" w:w="3360"/>
          </w:tcPr>
          <w:p>
            <w:r>
              <w:t>Prefer official or closest-to-official historical sources; retain provenance and validation metadata.</w:t>
            </w:r>
          </w:p>
        </w:tc>
      </w:tr>
      <w:tr>
        <w:tc>
          <w:tcPr>
            <w:tcW w:type="dxa" w:w="3360"/>
          </w:tcPr>
          <w:p>
            <w:r>
              <w:t>AD-002</w:t>
            </w:r>
          </w:p>
        </w:tc>
        <w:tc>
          <w:tcPr>
            <w:tcW w:type="dxa" w:w="3360"/>
          </w:tcPr>
          <w:p>
            <w:r>
              <w:t>One-time historical seed + project-owned history</w:t>
            </w:r>
          </w:p>
        </w:tc>
        <w:tc>
          <w:tcPr>
            <w:tcW w:type="dxa" w:w="3360"/>
          </w:tcPr>
          <w:p>
            <w:r>
              <w:t>Seed historical data when necessary, then retain and progressively build the project's own verified history.</w:t>
            </w:r>
          </w:p>
        </w:tc>
      </w:tr>
      <w:tr>
        <w:tc>
          <w:tcPr>
            <w:tcW w:type="dxa" w:w="3360"/>
          </w:tcPr>
          <w:p>
            <w:r>
              <w:t>AD-003</w:t>
            </w:r>
          </w:p>
        </w:tc>
        <w:tc>
          <w:tcPr>
            <w:tcW w:type="dxa" w:w="3360"/>
          </w:tcPr>
          <w:p>
            <w:r>
              <w:t>Statistical first</w:t>
            </w:r>
          </w:p>
        </w:tc>
        <w:tc>
          <w:tcPr>
            <w:tcW w:type="dxa" w:w="3360"/>
          </w:tcPr>
          <w:p>
            <w:r>
              <w:t>Build and validate a transparent statistical forecasting baseline before ML.</w:t>
            </w:r>
          </w:p>
        </w:tc>
      </w:tr>
      <w:tr>
        <w:tc>
          <w:tcPr>
            <w:tcW w:type="dxa" w:w="3360"/>
          </w:tcPr>
          <w:p>
            <w:r>
              <w:t>AD-004</w:t>
            </w:r>
          </w:p>
        </w:tc>
        <w:tc>
          <w:tcPr>
            <w:tcW w:type="dxa" w:w="3360"/>
          </w:tcPr>
          <w:p>
            <w:r>
              <w:t>Walk-forward validation</w:t>
            </w:r>
          </w:p>
        </w:tc>
        <w:tc>
          <w:tcPr>
            <w:tcW w:type="dxa" w:w="3360"/>
          </w:tcPr>
          <w:p>
            <w:r>
              <w:t>All model comparisons must respect time order and exclude future information.</w:t>
            </w:r>
          </w:p>
        </w:tc>
      </w:tr>
      <w:tr>
        <w:tc>
          <w:tcPr>
            <w:tcW w:type="dxa" w:w="3360"/>
          </w:tcPr>
          <w:p>
            <w:r>
              <w:t>AD-005</w:t>
            </w:r>
          </w:p>
        </w:tc>
        <w:tc>
          <w:tcPr>
            <w:tcW w:type="dxa" w:w="3360"/>
          </w:tcPr>
          <w:p>
            <w:r>
              <w:t>Historical prior + current evidence</w:t>
            </w:r>
          </w:p>
        </w:tc>
        <w:tc>
          <w:tcPr>
            <w:tcW w:type="dxa" w:w="3360"/>
          </w:tcPr>
          <w:p>
            <w:r>
              <w:t>Use historical information as a prior updated by current-season evidence, with recency/decay and sample-size treatment.</w:t>
            </w:r>
          </w:p>
        </w:tc>
      </w:tr>
      <w:tr>
        <w:tc>
          <w:tcPr>
            <w:tcW w:type="dxa" w:w="3360"/>
          </w:tcPr>
          <w:p>
            <w:r>
              <w:t>AD-006</w:t>
            </w:r>
          </w:p>
        </w:tc>
        <w:tc>
          <w:tcPr>
            <w:tcW w:type="dxa" w:w="3360"/>
          </w:tcPr>
          <w:p>
            <w:r>
              <w:t>Opponent adjustment</w:t>
            </w:r>
          </w:p>
        </w:tc>
        <w:tc>
          <w:tcPr>
            <w:tcW w:type="dxa" w:w="3360"/>
          </w:tcPr>
          <w:p>
            <w:r>
              <w:t>Team strength must account for the strength of opponents faced.</w:t>
            </w:r>
          </w:p>
        </w:tc>
      </w:tr>
      <w:tr>
        <w:tc>
          <w:tcPr>
            <w:tcW w:type="dxa" w:w="3360"/>
          </w:tcPr>
          <w:p>
            <w:r>
              <w:t>AD-007</w:t>
            </w:r>
          </w:p>
        </w:tc>
        <w:tc>
          <w:tcPr>
            <w:tcW w:type="dxa" w:w="3360"/>
          </w:tcPr>
          <w:p>
            <w:r>
              <w:t>ML later</w:t>
            </w:r>
          </w:p>
        </w:tc>
        <w:tc>
          <w:tcPr>
            <w:tcW w:type="dxa" w:w="3360"/>
          </w:tcPr>
          <w:p>
            <w:r>
              <w:t>Ridge/XGBoost/CatBoost/MLP are future candidates, not current dependencies.</w:t>
            </w:r>
          </w:p>
        </w:tc>
      </w:tr>
      <w:tr>
        <w:tc>
          <w:tcPr>
            <w:tcW w:type="dxa" w:w="3360"/>
          </w:tcPr>
          <w:p>
            <w:r>
              <w:t>AD-008</w:t>
            </w:r>
          </w:p>
        </w:tc>
        <w:tc>
          <w:tcPr>
            <w:tcW w:type="dxa" w:w="3360"/>
          </w:tcPr>
          <w:p>
            <w:r>
              <w:t>Ensemble only if proven</w:t>
            </w:r>
          </w:p>
        </w:tc>
        <w:tc>
          <w:tcPr>
            <w:tcW w:type="dxa" w:w="3360"/>
          </w:tcPr>
          <w:p>
            <w:r>
              <w:t>Use blending only when out-of-sample validation demonstrates meaningful improvement.</w:t>
            </w:r>
          </w:p>
        </w:tc>
      </w:tr>
      <w:tr>
        <w:tc>
          <w:tcPr>
            <w:tcW w:type="dxa" w:w="3360"/>
          </w:tcPr>
          <w:p>
            <w:r>
              <w:t>AD-009</w:t>
            </w:r>
          </w:p>
        </w:tc>
        <w:tc>
          <w:tcPr>
            <w:tcW w:type="dxa" w:w="3360"/>
          </w:tcPr>
          <w:p>
            <w:r>
              <w:t>Research references</w:t>
            </w:r>
          </w:p>
        </w:tc>
        <w:tc>
          <w:tcPr>
            <w:tcW w:type="dxa" w:w="3360"/>
          </w:tcPr>
          <w:p>
            <w:r>
              <w:t>Use AIrsenal, OpenFPL, FPL Review and similar projects for design lessons; do not copy weights or performance claims without validation.</w:t>
            </w:r>
          </w:p>
        </w:tc>
      </w:tr>
      <w:tr>
        <w:tc>
          <w:tcPr>
            <w:tcW w:type="dxa" w:w="3360"/>
          </w:tcPr>
          <w:p>
            <w:r>
              <w:t>AD-010</w:t>
            </w:r>
          </w:p>
        </w:tc>
        <w:tc>
          <w:tcPr>
            <w:tcW w:type="dxa" w:w="3360"/>
          </w:tcPr>
          <w:p>
            <w:r>
              <w:t>Underlying xGC status</w:t>
            </w:r>
          </w:p>
        </w:tc>
        <w:tc>
          <w:tcPr>
            <w:tcW w:type="dxa" w:w="3360"/>
          </w:tcPr>
          <w:p>
            <w:r>
              <w:t>Retain team_data.py underlying_xgc for diagnostics, but do not use it for production defensive modelling until its aggregation methodology is validated.</w:t>
            </w:r>
          </w:p>
        </w:tc>
      </w:tr>
      <w:tr>
        <w:tc>
          <w:tcPr>
            <w:tcW w:type="dxa" w:w="3360"/>
          </w:tcPr>
          <w:p>
            <w:r>
              <w:t>AD-011</w:t>
            </w:r>
          </w:p>
        </w:tc>
        <w:tc>
          <w:tcPr>
            <w:tcW w:type="dxa" w:w="3360"/>
          </w:tcPr>
          <w:p>
            <w:r>
              <w:t>Prediction audit trail</w:t>
            </w:r>
          </w:p>
        </w:tc>
        <w:tc>
          <w:tcPr>
            <w:tcW w:type="dxa" w:w="3360"/>
          </w:tcPr>
          <w:p>
            <w:r>
              <w:t>Store predictions before fixtures, actual outcomes afterward, model version and relevant inputs.</w:t>
            </w:r>
          </w:p>
        </w:tc>
      </w:tr>
      <w:tr>
        <w:tc>
          <w:tcPr>
            <w:tcW w:type="dxa" w:w="3360"/>
          </w:tcPr>
          <w:p>
            <w:r>
              <w:t>AD-012</w:t>
            </w:r>
          </w:p>
        </w:tc>
        <w:tc>
          <w:tcPr>
            <w:tcW w:type="dxa" w:w="3360"/>
          </w:tcPr>
          <w:p>
            <w:r>
              <w:t>No automatic FPL actions in MVP</w:t>
            </w:r>
          </w:p>
        </w:tc>
        <w:tc>
          <w:tcPr>
            <w:tcW w:type="dxa" w:w="3360"/>
          </w:tcPr>
          <w:p>
            <w:r>
              <w:t>Recommendations require user execution/confirmation; authenticated private state and automatic actions remain future considerations.</w:t>
            </w:r>
          </w:p>
        </w:tc>
      </w:tr>
      <w:tr>
        <w:tc>
          <w:tcPr>
            <w:tcW w:type="dxa" w:w="3360"/>
          </w:tcPr>
          <w:p>
            <w:r>
              <w:t>AD-013</w:t>
            </w:r>
          </w:p>
        </w:tc>
        <w:tc>
          <w:tcPr>
            <w:tcW w:type="dxa" w:w="3360"/>
          </w:tcPr>
          <w:p>
            <w:r>
              <w:t>FPL-authoritative historical truth</w:t>
            </w:r>
          </w:p>
        </w:tc>
        <w:tc>
          <w:tcPr>
            <w:tcW w:type="dxa" w:w="3360"/>
          </w:tcPr>
          <w:p>
            <w:r>
              <w:t>Core historical player/team data remains FPL-authoritative. Do not silently fill missing FPL fields with third-party estimates; missing authoritative fields remain NULL.</w:t>
            </w:r>
          </w:p>
        </w:tc>
      </w:tr>
      <w:tr>
        <w:tc>
          <w:tcPr>
            <w:tcW w:type="dxa" w:w="3360"/>
          </w:tcPr>
          <w:p>
            <w:r>
              <w:t>AD-014</w:t>
            </w:r>
          </w:p>
        </w:tc>
        <w:tc>
          <w:tcPr>
            <w:tcW w:type="dxa" w:w="3360"/>
          </w:tcPr>
          <w:p>
            <w:r>
              <w:t>Secondary sources deferred from core truth</w:t>
            </w:r>
          </w:p>
        </w:tc>
        <w:tc>
          <w:tcPr>
            <w:tcW w:type="dxa" w:w="3360"/>
          </w:tcPr>
          <w:p>
            <w:r>
              <w:t>Understat and other external underlying-data sources may be evaluated later as separate modelling features, only after leakage-safe walk-forward testing demonstrates value.</w:t>
            </w:r>
          </w:p>
        </w:tc>
      </w:tr>
      <w:tr>
        <w:tc>
          <w:tcPr>
            <w:tcW w:type="dxa" w:w="3360"/>
          </w:tcPr>
          <w:p>
            <w:r>
              <w:t>AD-015</w:t>
            </w:r>
          </w:p>
        </w:tc>
        <w:tc>
          <w:tcPr>
            <w:tcW w:type="dxa" w:w="3360"/>
          </w:tcPr>
          <w:p>
            <w:r>
              <w:t>Historical player canonical grain</w:t>
            </w:r>
          </w:p>
        </w:tc>
        <w:tc>
          <w:tcPr>
            <w:tcW w:type="dxa" w:w="3360"/>
          </w:tcPr>
          <w:p>
            <w:r>
              <w:t>Use one record per season + player + fixture. Collapse exact duplicates only after validation; conflicting duplicates fail.</w:t>
            </w:r>
          </w:p>
        </w:tc>
      </w:tr>
      <w:tr>
        <w:tc>
          <w:tcPr>
            <w:tcW w:type="dxa" w:w="3360"/>
          </w:tcPr>
          <w:p>
            <w:r>
              <w:t>AD-016</w:t>
            </w:r>
          </w:p>
        </w:tc>
        <w:tc>
          <w:tcPr>
            <w:tcW w:type="dxa" w:w="3360"/>
          </w:tcPr>
          <w:p>
            <w:r>
              <w:t>Historical player ingestion checkpoint</w:t>
            </w:r>
          </w:p>
        </w:tc>
        <w:tc>
          <w:tcPr>
            <w:tcW w:type="dxa" w:w="3360"/>
          </w:tcPr>
          <w:p>
            <w:r>
              <w:t>Accept the validated six-season player layer: 2020/21–2025/26, 163,394 canonical records, provenance retained and known exact duplicates handled.</w:t>
            </w:r>
          </w:p>
        </w:tc>
      </w:tr>
      <w:tr>
        <w:tc>
          <w:tcPr>
            <w:tcW w:type="dxa" w:w="3360"/>
          </w:tcPr>
          <w:p>
            <w:r>
              <w:t>AD-017</w:t>
            </w:r>
          </w:p>
        </w:tc>
        <w:tc>
          <w:tcPr>
            <w:tcW w:type="dxa" w:w="3360"/>
          </w:tcPr>
          <w:p>
            <w:r>
              <w:t>One universal optimizer per FPL team</w:t>
            </w:r>
          </w:p>
        </w:tc>
        <w:tc>
          <w:tcPr>
            <w:tcW w:type="dxa" w:w="3360"/>
          </w:tcPr>
          <w:p>
            <w:r>
              <w:t>Do not optimize the same FPL team independently for different mini-leagues. Leagues are contextual inputs; the action must remain one team-level decision.</w:t>
            </w:r>
          </w:p>
        </w:tc>
      </w:tr>
      <w:tr>
        <w:tc>
          <w:tcPr>
            <w:tcW w:type="dxa" w:w="3360"/>
          </w:tcPr>
          <w:p>
            <w:r>
              <w:t>AD-018</w:t>
            </w:r>
          </w:p>
        </w:tc>
        <w:tc>
          <w:tcPr>
            <w:tcW w:type="dxa" w:w="3360"/>
          </w:tcPr>
          <w:p>
            <w:r>
              <w:t>Flexible league/prize model</w:t>
            </w:r>
          </w:p>
        </w:tc>
        <w:tc>
          <w:tcPr>
            <w:tcW w:type="dxa" w:w="3360"/>
          </w:tcPr>
          <w:p>
            <w:r>
              <w:t>League membership, standings and payout structures are data/configuration, not hard-coded strategy assumptions.</w:t>
            </w:r>
          </w:p>
        </w:tc>
      </w:tr>
      <w:tr>
        <w:tc>
          <w:tcPr>
            <w:tcW w:type="dxa" w:w="3360"/>
          </w:tcPr>
          <w:p>
            <w:r>
              <w:t>AD-019</w:t>
            </w:r>
          </w:p>
        </w:tc>
        <w:tc>
          <w:tcPr>
            <w:tcW w:type="dxa" w:w="3360"/>
          </w:tcPr>
          <w:p>
            <w:r>
              <w:t>Persistent conversation/session model</w:t>
            </w:r>
          </w:p>
        </w:tc>
        <w:tc>
          <w:tcPr>
            <w:tcW w:type="dxa" w:w="3360"/>
          </w:tcPr>
          <w:p>
            <w:r>
              <w:t>Support multiple named persistent conversations per user while keeping structured strategic memory separate from raw chat history.</w:t>
            </w:r>
          </w:p>
        </w:tc>
      </w:tr>
      <w:tr>
        <w:tc>
          <w:tcPr>
            <w:tcW w:type="dxa" w:w="3360"/>
          </w:tcPr>
          <w:p>
            <w:r>
              <w:t>AD-020</w:t>
            </w:r>
          </w:p>
        </w:tc>
        <w:tc>
          <w:tcPr>
            <w:tcW w:type="dxa" w:w="3360"/>
          </w:tcPr>
          <w:p>
            <w:r>
              <w:t>Proactive operating cadence</w:t>
            </w:r>
          </w:p>
        </w:tc>
        <w:tc>
          <w:tcPr>
            <w:tcW w:type="dxa" w:w="3360"/>
          </w:tcPr>
          <w:p>
            <w:r>
              <w:t>Target approximately three strategic analyses per GW: post-GW, midweek and pre-deadline.</w:t>
            </w:r>
          </w:p>
        </w:tc>
      </w:tr>
      <w:tr>
        <w:tc>
          <w:tcPr>
            <w:tcW w:type="dxa" w:w="3360"/>
          </w:tcPr>
          <w:p>
            <w:r>
              <w:t>AD-021</w:t>
            </w:r>
          </w:p>
        </w:tc>
        <w:tc>
          <w:tcPr>
            <w:tcW w:type="dxa" w:w="3360"/>
          </w:tcPr>
          <w:p>
            <w:r>
              <w:t>Authoritative state re-verification</w:t>
            </w:r>
          </w:p>
        </w:tc>
        <w:tc>
          <w:tcPr>
            <w:tcW w:type="dxa" w:w="3360"/>
          </w:tcPr>
          <w:p>
            <w:r>
              <w:t>When the user reports a transfer/action, refresh authoritative FPL state before subsequent strategy decisions; do not trust chat memory as state.</w:t>
            </w:r>
          </w:p>
        </w:tc>
      </w:tr>
      <w:tr>
        <w:tc>
          <w:tcPr>
            <w:tcW w:type="dxa" w:w="3360"/>
          </w:tcPr>
          <w:p>
            <w:r>
              <w:t>AD-022</w:t>
            </w:r>
          </w:p>
        </w:tc>
        <w:tc>
          <w:tcPr>
            <w:tcW w:type="dxa" w:w="3360"/>
          </w:tcPr>
          <w:p>
            <w:r>
              <w:t>NO DATA = NO ANSWER</w:t>
            </w:r>
          </w:p>
        </w:tc>
        <w:tc>
          <w:tcPr>
            <w:tcW w:type="dxa" w:w="3360"/>
          </w:tcPr>
          <w:p>
            <w:r>
              <w:t>Decision-critical missing/unverified data must be surfaced and excluded from unsupported recommendations.</w:t>
            </w:r>
          </w:p>
        </w:tc>
      </w:tr>
      <w:tr>
        <w:tc>
          <w:tcPr>
            <w:tcW w:type="dxa" w:w="3360"/>
          </w:tcPr>
          <w:p>
            <w:r>
              <w:t>AD-023</w:t>
            </w:r>
          </w:p>
        </w:tc>
        <w:tc>
          <w:tcPr>
            <w:tcW w:type="dxa" w:w="3360"/>
          </w:tcPr>
          <w:p>
            <w:r>
              <w:t>Risk-adjusted upside</w:t>
            </w:r>
          </w:p>
        </w:tc>
        <w:tc>
          <w:tcPr>
            <w:tcW w:type="dxa" w:w="3360"/>
          </w:tcPr>
          <w:p>
            <w:r>
              <w:t>Use controlled differentials and ceiling/upside where justified; do not automatically chase weekly prizes with reckless risk.</w:t>
            </w:r>
          </w:p>
        </w:tc>
      </w:tr>
      <w:tr>
        <w:tc>
          <w:tcPr>
            <w:tcW w:type="dxa" w:w="3360"/>
          </w:tcPr>
          <w:p>
            <w:r>
              <w:t>AD-024</w:t>
            </w:r>
          </w:p>
        </w:tc>
        <w:tc>
          <w:tcPr>
            <w:tcW w:type="dxa" w:w="3360"/>
          </w:tcPr>
          <w:p>
            <w:r>
              <w:t>Dream Team is evaluation-only hindsight</w:t>
            </w:r>
          </w:p>
        </w:tc>
        <w:tc>
          <w:tcPr>
            <w:tcW w:type="dxa" w:w="3360"/>
          </w:tcPr>
          <w:p>
            <w:r>
              <w:t>Dream Team data may be used after a GW to evaluate misses/execution, but not as a same-GW prediction input.</w:t>
            </w:r>
          </w:p>
        </w:tc>
      </w:tr>
      <w:tr>
        <w:tc>
          <w:tcPr>
            <w:tcW w:type="dxa" w:w="3360"/>
          </w:tcPr>
          <w:p>
            <w:r>
              <w:t>AD-025</w:t>
            </w:r>
          </w:p>
        </w:tc>
        <w:tc>
          <w:tcPr>
            <w:tcW w:type="dxa" w:w="3360"/>
          </w:tcPr>
          <w:p>
            <w:r>
              <w:t>Cloud-first and ₹0 target</w:t>
            </w:r>
          </w:p>
        </w:tc>
        <w:tc>
          <w:tcPr>
            <w:tcW w:type="dxa" w:w="3360"/>
          </w:tcPr>
          <w:p>
            <w:r>
              <w:t>Design for mobile/web access, persistent cloud state and zero additional operating cost using free/public infrastructure where practical.</w:t>
            </w:r>
          </w:p>
        </w:tc>
      </w:tr>
      <w:tr>
        <w:tc>
          <w:tcPr>
            <w:tcW w:type="dxa" w:w="3360"/>
          </w:tcPr>
          <w:p>
            <w:r>
              <w:t>AD-026</w:t>
            </w:r>
          </w:p>
        </w:tc>
        <w:tc>
          <w:tcPr>
            <w:tcW w:type="dxa" w:w="3360"/>
          </w:tcPr>
          <w:p>
            <w:r>
              <w:t>Shared global data / isolated user state</w:t>
            </w:r>
          </w:p>
        </w:tc>
        <w:tc>
          <w:tcPr>
            <w:tcW w:type="dxa" w:w="3360"/>
          </w:tcPr>
          <w:p>
            <w:r>
              <w:t>Global FPL data should be shared across users while manager state, memory and conversations remain strictly isolated.</w:t>
            </w:r>
          </w:p>
        </w:tc>
      </w:tr>
      <w:tr>
        <w:tc>
          <w:tcPr>
            <w:tcW w:type="dxa" w:w="3360"/>
          </w:tcPr>
          <w:p>
            <w:r>
              <w:t>AD-027</w:t>
            </w:r>
          </w:p>
        </w:tc>
        <w:tc>
          <w:tcPr>
            <w:tcW w:type="dxa" w:w="3360"/>
          </w:tcPr>
          <w:p>
            <w:r>
              <w:t>Interface-independent core</w:t>
            </w:r>
          </w:p>
        </w:tc>
        <w:tc>
          <w:tcPr>
            <w:tcW w:type="dxa" w:w="3360"/>
          </w:tcPr>
          <w:p>
            <w:r>
              <w:t>Streamlit may remain a UI vehicle, but core truth/model/strategy modules must remain independent of app.py.</w:t>
            </w:r>
          </w:p>
        </w:tc>
      </w:tr>
      <w:tr>
        <w:tc>
          <w:tcPr>
            <w:tcW w:type="dxa" w:w="3360"/>
          </w:tcPr>
          <w:p>
            <w:r>
              <w:t>AD-028</w:t>
            </w:r>
          </w:p>
        </w:tc>
        <w:tc>
          <w:tcPr>
            <w:tcW w:type="dxa" w:w="3360"/>
          </w:tcPr>
          <w:p>
            <w:r>
              <w:t>Modular beginner-friendly workflow</w:t>
            </w:r>
          </w:p>
        </w:tc>
        <w:tc>
          <w:tcPr>
            <w:tcW w:type="dxa" w:w="3360"/>
          </w:tcPr>
          <w:p>
            <w:r>
              <w:t>Use complete file replacements, comments, small testable steps and local-test-before-commit workflow.</w:t>
            </w:r>
          </w:p>
        </w:tc>
      </w:tr>
      <w:tr>
        <w:tc>
          <w:tcPr>
            <w:tcW w:type="dxa" w:w="3360"/>
          </w:tcPr>
          <w:p>
            <w:r>
              <w:t>AD-029</w:t>
            </w:r>
          </w:p>
        </w:tc>
        <w:tc>
          <w:tcPr>
            <w:tcW w:type="dxa" w:w="3360"/>
          </w:tcPr>
          <w:p>
            <w:r>
              <w:t>Historical six-season walk-forward windows</w:t>
            </w:r>
          </w:p>
        </w:tc>
        <w:tc>
          <w:tcPr>
            <w:tcW w:type="dxa" w:w="3360"/>
          </w:tcPr>
          <w:p>
            <w:r>
              <w:t>Use 2020/21–2025/26 with expanding training windows and each following season as an out-of-sample test.</w:t>
            </w:r>
          </w:p>
        </w:tc>
      </w:tr>
      <w:tr>
        <w:tc>
          <w:tcPr>
            <w:tcW w:type="dxa" w:w="3360"/>
          </w:tcPr>
          <w:p>
            <w:r>
              <w:t>AD-030</w:t>
            </w:r>
          </w:p>
        </w:tc>
        <w:tc>
          <w:tcPr>
            <w:tcW w:type="dxa" w:w="3360"/>
          </w:tcPr>
          <w:p>
            <w:r>
              <w:t>Fixture-model roadmap ordering</w:t>
            </w:r>
          </w:p>
        </w:tc>
        <w:tc>
          <w:tcPr>
            <w:tcW w:type="dxa" w:w="3360"/>
          </w:tcPr>
          <w:p>
            <w:r>
              <w:t>After historical team/player and team-strength completion, proceed to internal fixture model → official FDR benchmark → prediction snapshots → expected-goals foundation → expected-points → strategy engines → evaluation/learning.</w:t>
            </w:r>
          </w:p>
        </w:tc>
      </w:tr>
      <w:tr>
        <w:tc>
          <w:tcPr>
            <w:tcW w:type="dxa" w:w="3360"/>
          </w:tcPr>
          <w:p>
            <w:r>
              <w:t>AD-031</w:t>
            </w:r>
          </w:p>
        </w:tc>
        <w:tc>
          <w:tcPr>
            <w:tcW w:type="dxa" w:w="3360"/>
          </w:tcPr>
          <w:p>
            <w:r>
              <w:t>Transparent baseline expected-goals model</w:t>
            </w:r>
          </w:p>
        </w:tc>
        <w:tc>
          <w:tcPr>
            <w:tcW w:type="dxa" w:w="3360"/>
          </w:tcPr>
          <w:p>
            <w:r>
              <w:t>Build expected goals as a separate, transparent statistical layer. Start with normalized home/away attack and defensive components and sample-size shrinkage; do not introduce arbitrary fixed weights. Calibrate parameters using expanding walk-forward training seasons and evaluate on the following untouched season. Validate recent form and additional features incrementally. Keep team strength, match expectations, player expected points and strategy as separate layers.</w:t>
            </w:r>
          </w:p>
        </w:tc>
      </w:tr>
      <w:tr>
        <w:tc>
          <w:tcPr>
            <w:tcW w:type="dxa" w:w="3360"/>
          </w:tcPr>
          <w:p>
            <w:r>
              <w:t>AD-032</w:t>
            </w:r>
          </w:p>
        </w:tc>
        <w:tc>
          <w:tcPr>
            <w:tcW w:type="dxa" w:w="3360"/>
          </w:tcPr>
          <w:p>
            <w:r>
              <w:t>Separate Historical Prior Layer from Current-Season Point-in-Time State</w:t>
            </w:r>
          </w:p>
        </w:tc>
        <w:tc>
          <w:tcPr>
            <w:tcW w:type="dxa" w:w="3360"/>
          </w:tcPr>
          <w:p>
            <w:r>
              <w:t>Keep the prediction-time team state strictly season-scoped and cutoff-based. Do not concatenate prior seasons into current-season cumulative or recent-five state. Expose historical context through a separate prior layer so recency/decay, sample-size treatment, promoted/relegated handling and no-history behaviour can be explicitly designed and validated. Do not feed historical priors into the baseline expected-goals model until leakage-safe walk-forward evaluation demonstrates incremental value.</w:t>
            </w:r>
          </w:p>
        </w:tc>
      </w:tr>
      <w:tr>
        <w:tc>
          <w:tcPr>
            <w:tcW w:type="dxa" w:w="3360"/>
          </w:tcPr>
          <w:p>
            <w:r>
              <w:t>AD-033</w:t>
            </w:r>
          </w:p>
        </w:tc>
        <w:tc>
          <w:tcPr>
            <w:tcW w:type="dxa" w:w="3360"/>
          </w:tcPr>
          <w:p>
            <w:r>
              <w:t>Historical Prior Layer methodology</w:t>
            </w:r>
          </w:p>
        </w:tc>
        <w:tc>
          <w:tcPr>
            <w:tcW w:type="dxa" w:w="3360"/>
          </w:tcPr>
          <w:p>
            <w:r>
              <w:t>Keep historical priors separate from current-season point-in-time state. V1 uses up to three completed Premier League seasons with transparent 60%/30%/10% recency weights; current recent_5 remains current-season-only; promoted teams without usable PL history receive no fabricated prior; missing priors remain explicit; sample size and season coverage are retained; no separate historical shrinkage parameter is tuned in V1; walk-forward priors use only seasons completed before the test season; historical-prior integration into the baseline expected-goals model is deferred until leakage-safe validation demonstrates incremental value.</w:t>
            </w:r>
          </w:p>
        </w:tc>
      </w:tr>
      <w:tr>
        <w:tc>
          <w:tcPr>
            <w:tcW w:type="dxa" w:w="3360"/>
          </w:tcPr>
          <w:p>
            <w:r>
              <w:t>AD-034</w:t>
            </w:r>
          </w:p>
        </w:tc>
        <w:tc>
          <w:tcPr>
            <w:tcW w:type="dxa" w:w="3360"/>
          </w:tcPr>
          <w:p>
            <w:r>
              <w:t>SQLite-first persistence behind abstraction</w:t>
            </w:r>
          </w:p>
        </w:tc>
        <w:tc>
          <w:tcPr>
            <w:tcW w:type="dxa" w:w="3360"/>
          </w:tcPr>
          <w:p>
            <w:r>
              <w:t>Use SQLite as the first durable backend while keeping strategy/business logic independent through a repository/data-store interface. JSON remains a prototype/test backend; future cloud storage can implement the same contract.</w:t>
            </w:r>
          </w:p>
        </w:tc>
      </w:tr>
      <w:tr>
        <w:tc>
          <w:tcPr>
            <w:tcW w:type="dxa" w:w="3360"/>
          </w:tcPr>
          <w:p>
            <w:r>
              <w:t>AD-035</w:t>
            </w:r>
          </w:p>
        </w:tc>
        <w:tc>
          <w:tcPr>
            <w:tcW w:type="dxa" w:w="3360"/>
          </w:tcPr>
          <w:p>
            <w:r>
              <w:t>Domain model, not code-file mirroring</w:t>
            </w:r>
          </w:p>
        </w:tc>
        <w:tc>
          <w:tcPr>
            <w:tcW w:type="dxa" w:w="3360"/>
          </w:tcPr>
          <w:p>
            <w:r>
              <w:t>Database tables represent business/data domains and grains, not Python module names. Separate ingestion modules may write to related domain tables.</w:t>
            </w:r>
          </w:p>
        </w:tc>
      </w:tr>
      <w:tr>
        <w:tc>
          <w:tcPr>
            <w:tcW w:type="dxa" w:w="3360"/>
          </w:tcPr>
          <w:p>
            <w:r>
              <w:t>AD-036</w:t>
            </w:r>
          </w:p>
        </w:tc>
        <w:tc>
          <w:tcPr>
            <w:tcW w:type="dxa" w:w="3360"/>
          </w:tcPr>
          <w:p>
            <w:r>
              <w:t>Current versus historical schema separation</w:t>
            </w:r>
          </w:p>
        </w:tc>
        <w:tc>
          <w:tcPr>
            <w:tcW w:type="dxa" w:w="3360"/>
          </w:tcPr>
          <w:p>
            <w:r>
              <w:t>Current-season point-in-time state and validated historical canonical truth are separate persistence layers and may intentionally use different schemas.</w:t>
            </w:r>
          </w:p>
        </w:tc>
      </w:tr>
      <w:tr>
        <w:tc>
          <w:tcPr>
            <w:tcW w:type="dxa" w:w="3360"/>
          </w:tcPr>
          <w:p>
            <w:r>
              <w:t>AD-037</w:t>
            </w:r>
          </w:p>
        </w:tc>
        <w:tc>
          <w:tcPr>
            <w:tcW w:type="dxa" w:w="3360"/>
          </w:tcPr>
          <w:p>
            <w:r>
              <w:t>Canonical grain is a database invariant</w:t>
            </w:r>
          </w:p>
        </w:tc>
        <w:tc>
          <w:tcPr>
            <w:tcW w:type="dxa" w:w="3360"/>
          </w:tcPr>
          <w:p>
            <w:r>
              <w:t>Persisted entities must have explicit grains and business uniqueness constraints. Player-fixture facts use season + player + fixture; manager state uses manager + season + GW; predictions include model version.</w:t>
            </w:r>
          </w:p>
        </w:tc>
      </w:tr>
      <w:tr>
        <w:tc>
          <w:tcPr>
            <w:tcW w:type="dxa" w:w="3360"/>
          </w:tcPr>
          <w:p>
            <w:r>
              <w:t>AD-038</w:t>
            </w:r>
          </w:p>
        </w:tc>
        <w:tc>
          <w:tcPr>
            <w:tcW w:type="dxa" w:w="3360"/>
          </w:tcPr>
          <w:p>
            <w:r>
              <w:t>Ingestion runs versus freshness</w:t>
            </w:r>
          </w:p>
        </w:tc>
        <w:tc>
          <w:tcPr>
            <w:tcW w:type="dxa" w:w="3360"/>
          </w:tcPr>
          <w:p>
            <w:r>
              <w:t>ingestion_runs is the authoritative source retrieval/execution record; dataset_freshness is the resulting dataset usability state. They are separate concerns and must not be duplicated.</w:t>
            </w:r>
          </w:p>
        </w:tc>
      </w:tr>
      <w:tr>
        <w:tc>
          <w:tcPr>
            <w:tcW w:type="dxa" w:w="3360"/>
          </w:tcPr>
          <w:p>
            <w:r>
              <w:t>AD-039</w:t>
            </w:r>
          </w:p>
        </w:tc>
        <w:tc>
          <w:tcPr>
            <w:tcW w:type="dxa" w:w="3360"/>
          </w:tcPr>
          <w:p>
            <w:r>
              <w:t>Explicit data lineage</w:t>
            </w:r>
          </w:p>
        </w:tc>
        <w:tc>
          <w:tcPr>
            <w:tcW w:type="dxa" w:w="3360"/>
          </w:tcPr>
          <w:p>
            <w:r>
              <w:t>data_lineage stores versioned source-to-target field mappings and transformations so outputs can be traced back to original sources and fields.</w:t>
            </w:r>
          </w:p>
        </w:tc>
      </w:tr>
      <w:tr>
        <w:tc>
          <w:tcPr>
            <w:tcW w:type="dxa" w:w="3360"/>
          </w:tcPr>
          <w:p>
            <w:r>
              <w:t>AD-040</w:t>
            </w:r>
          </w:p>
        </w:tc>
        <w:tc>
          <w:tcPr>
            <w:tcW w:type="dxa" w:w="3360"/>
          </w:tcPr>
          <w:p>
            <w:r>
              <w:t>Persist only purposeful fields</w:t>
            </w:r>
          </w:p>
        </w:tc>
        <w:tc>
          <w:tcPr>
            <w:tcW w:type="dxa" w:w="3360"/>
          </w:tcPr>
          <w:p>
            <w:r>
              <w:t>Persist fields required by current modules, explicit future modelling/audit needs or auditability. Do not create dedicated columns merely because an external source exposes a field.</w:t>
            </w:r>
          </w:p>
        </w:tc>
      </w:tr>
      <w:tr>
        <w:tc>
          <w:tcPr>
            <w:tcW w:type="dxa" w:w="3360"/>
          </w:tcPr>
          <w:p>
            <w:r>
              <w:t>AD-041</w:t>
            </w:r>
          </w:p>
        </w:tc>
        <w:tc>
          <w:tcPr>
            <w:tcW w:type="dxa" w:w="3360"/>
          </w:tcPr>
          <w:p>
            <w:r>
              <w:t>Historical promotion without new external integration</w:t>
            </w:r>
          </w:p>
        </w:tc>
        <w:tc>
          <w:tcPr>
            <w:tcW w:type="dxa" w:w="3360"/>
          </w:tcPr>
          <w:p>
            <w:r>
              <w:t>At season completion, convert validated current-season data to the canonical historical schema using explicit mappings and lineage; do not require a new one-off external historical integration.</w:t>
            </w:r>
          </w:p>
        </w:tc>
      </w:tr>
      <w:tr>
        <w:tc>
          <w:tcPr>
            <w:tcW w:type="dxa" w:w="3360"/>
          </w:tcPr>
          <w:p>
            <w:r>
              <w:t>AD-042</w:t>
            </w:r>
          </w:p>
        </w:tc>
        <w:tc>
          <w:tcPr>
            <w:tcW w:type="dxa" w:w="3360"/>
          </w:tcPr>
          <w:p>
            <w:r>
              <w:t>Freeze validated historical truth</w:t>
            </w:r>
          </w:p>
        </w:tc>
        <w:tc>
          <w:tcPr>
            <w:tcW w:type="dxa" w:w="3360"/>
          </w:tcPr>
          <w:p>
            <w:r>
              <w:t>Once a completed season passes validation and promotion, the historical dataset becomes immutable except through a controlled correction/versioning process.</w:t>
            </w:r>
          </w:p>
        </w:tc>
      </w:tr>
      <w:tr>
        <w:tc>
          <w:tcPr>
            <w:tcW w:type="dxa" w:w="3360"/>
          </w:tcPr>
          <w:p>
            <w:r>
              <w:t>AD-043</w:t>
            </w:r>
          </w:p>
        </w:tc>
        <w:tc>
          <w:tcPr>
            <w:tcW w:type="dxa" w:w="3360"/>
          </w:tcPr>
          <w:p>
            <w:r>
              <w:t>Documentation as controlled project artefact</w:t>
            </w:r>
          </w:p>
        </w:tc>
        <w:tc>
          <w:tcPr>
            <w:tcW w:type="dxa" w:w="3360"/>
          </w:tcPr>
          <w:p>
            <w:r>
              <w:t>The BRD, Functional Specification, Technical Specification and Architecture Decision Log are a coordinated living documentation set and should be stored in GitHub with the implementation.</w:t>
            </w:r>
          </w:p>
        </w:tc>
      </w:tr>
    </w:tbl>
    <w:p>
      <w:pPr>
        <w:pStyle w:val="Heading1"/>
      </w:pPr>
      <w:bookmarkStart w:id="1002" w:name="IndexTarget1002"/>
      <w:r>
        <w:t>2. Key Current Decisions by Domain</w:t>
      </w:r>
      <w:bookmarkEnd w:id="1002"/>
    </w:p>
    <w:p>
      <w:pPr>
        <w:pStyle w:val="Heading2"/>
      </w:pPr>
      <w:r>
        <w:t>Data truth</w:t>
      </w:r>
    </w:p>
    <w:p>
      <w:pPr>
        <w:pStyle w:val="ListBullet"/>
      </w:pPr>
      <w:r>
        <w:t>Official FPL API is the authoritative source for current FPL facts.</w:t>
      </w:r>
    </w:p>
    <w:p>
      <w:pPr>
        <w:pStyle w:val="ListBullet"/>
      </w:pPr>
      <w:r>
        <w:t>Historical player/team core data remains FPL-authoritative.</w:t>
      </w:r>
    </w:p>
    <w:p>
      <w:pPr>
        <w:pStyle w:val="ListBullet"/>
      </w:pPr>
      <w:r>
        <w:t>Secondary sources are separate modelling features only if later validated.</w:t>
      </w:r>
    </w:p>
    <w:p>
      <w:pPr>
        <w:pStyle w:val="Heading2"/>
      </w:pPr>
      <w:r>
        <w:t>Prediction</w:t>
      </w:r>
    </w:p>
    <w:p>
      <w:pPr>
        <w:pStyle w:val="ListBullet"/>
      </w:pPr>
      <w:r>
        <w:t>Current-season prediction state is point-in-time and season-scoped; historical priors are a separate layer.</w:t>
      </w:r>
    </w:p>
    <w:p>
      <w:pPr>
        <w:pStyle w:val="ListBullet"/>
      </w:pPr>
      <w:r>
        <w:t>Historical Prior Layer integration is deferred until its methodology is explicitly specified and validated.</w:t>
      </w:r>
    </w:p>
    <w:p>
      <w:pPr>
        <w:pStyle w:val="ListBullet"/>
      </w:pPr>
      <w:r>
        <w:t>Statistical-first baseline.</w:t>
      </w:r>
    </w:p>
    <w:p>
      <w:pPr>
        <w:pStyle w:val="ListBullet"/>
      </w:pPr>
      <w:r>
        <w:t>Walk-forward evaluation.</w:t>
      </w:r>
    </w:p>
    <w:p>
      <w:pPr>
        <w:pStyle w:val="ListBullet"/>
      </w:pPr>
      <w:r>
        <w:t>Prediction snapshots before fixtures and actuals after fixtures.</w:t>
      </w:r>
    </w:p>
    <w:p>
      <w:pPr>
        <w:pStyle w:val="ListBullet"/>
      </w:pPr>
      <w:r>
        <w:t>No look-ahead leakage.</w:t>
      </w:r>
    </w:p>
    <w:p>
      <w:pPr>
        <w:pStyle w:val="Heading2"/>
      </w:pPr>
      <w:r>
        <w:t>Strategy</w:t>
      </w:r>
    </w:p>
    <w:p>
      <w:pPr>
        <w:pStyle w:val="ListBullet"/>
      </w:pPr>
      <w:r>
        <w:t>One universal optimizer per FPL team.</w:t>
      </w:r>
    </w:p>
    <w:p>
      <w:pPr>
        <w:pStyle w:val="ListBullet"/>
      </w:pPr>
      <w:r>
        <w:t>Expected value plus controlled upside.</w:t>
      </w:r>
    </w:p>
    <w:p>
      <w:pPr>
        <w:pStyle w:val="ListBullet"/>
      </w:pPr>
      <w:r>
        <w:t>No-transfer is a valid action.</w:t>
      </w:r>
    </w:p>
    <w:p>
      <w:pPr>
        <w:pStyle w:val="ListBullet"/>
      </w:pPr>
      <w:r>
        <w:t>Chips are evaluated through opportunity cost and future value.</w:t>
      </w:r>
    </w:p>
    <w:p>
      <w:pPr>
        <w:pStyle w:val="Heading2"/>
      </w:pPr>
      <w:r>
        <w:t>Product</w:t>
      </w:r>
    </w:p>
    <w:p>
      <w:pPr>
        <w:pStyle w:val="ListBullet"/>
      </w:pPr>
      <w:r>
        <w:t>Persistent conversations plus structured strategic memory.</w:t>
      </w:r>
    </w:p>
    <w:p>
      <w:pPr>
        <w:pStyle w:val="ListBullet"/>
      </w:pPr>
      <w:r>
        <w:t>Proactive approximately three-times-per-GW operating cadence.</w:t>
      </w:r>
    </w:p>
    <w:p>
      <w:pPr>
        <w:pStyle w:val="ListBullet"/>
      </w:pPr>
      <w:r>
        <w:t>Cloud-first mobile/web access.</w:t>
      </w:r>
    </w:p>
    <w:p>
      <w:pPr>
        <w:pStyle w:val="ListBullet"/>
      </w:pPr>
      <w:r>
        <w:t>₹0 additional cost target.</w:t>
      </w:r>
    </w:p>
    <w:p>
      <w:pPr>
        <w:pStyle w:val="Heading2"/>
      </w:pPr>
      <w:r>
        <w:t>Multi-user</w:t>
      </w:r>
    </w:p>
    <w:p>
      <w:pPr>
        <w:pStyle w:val="ListBullet"/>
      </w:pPr>
      <w:r>
        <w:t>Shared global FPL data.</w:t>
      </w:r>
    </w:p>
    <w:p>
      <w:pPr>
        <w:pStyle w:val="ListBullet"/>
      </w:pPr>
      <w:r>
        <w:t>Strictly isolated user-specific state and conversations.</w:t>
      </w:r>
    </w:p>
    <w:p>
      <w:pPr>
        <w:pStyle w:val="ListBullet"/>
      </w:pPr>
      <w:r>
        <w:t>Future login/authentication.</w:t>
      </w:r>
    </w:p>
    <w:p>
      <w:pPr>
        <w:pStyle w:val="Heading1"/>
      </w:pPr>
      <w:bookmarkStart w:id="1003" w:name="IndexTarget1003"/>
      <w:r>
        <w:t>3. v0.8 Thread Reconciliation Record</w:t>
      </w:r>
      <w:bookmarkEnd w:id="1003"/>
    </w:p>
    <w:p>
      <w:r>
        <w:t>This checkpoint was created specifically because the previous v0.7 documentation did not fully capture all material post-v0.5 decisions. The reconciliation reviewed the accumulated project direction represented in the thread and explicitly carried forward the following categories:</w:t>
      </w:r>
    </w:p>
    <w:p>
      <w:pPr>
        <w:pStyle w:val="ListBullet"/>
      </w:pPr>
      <w:r>
        <w:t>Business objective and north-star optimization.</w:t>
      </w:r>
    </w:p>
    <w:p>
      <w:pPr>
        <w:pStyle w:val="ListBullet"/>
      </w:pPr>
      <w:r>
        <w:t>Mini-league payout/rival context versus the single-team universal optimizer.</w:t>
      </w:r>
    </w:p>
    <w:p>
      <w:pPr>
        <w:pStyle w:val="ListBullet"/>
      </w:pPr>
      <w:r>
        <w:t>Persistent conversation/session architecture.</w:t>
      </w:r>
    </w:p>
    <w:p>
      <w:pPr>
        <w:pStyle w:val="ListBullet"/>
      </w:pPr>
      <w:r>
        <w:t>Separate structured strategic memory.</w:t>
      </w:r>
    </w:p>
    <w:p>
      <w:pPr>
        <w:pStyle w:val="ListBullet"/>
      </w:pPr>
      <w:r>
        <w:t>Proactive analysis cadence.</w:t>
      </w:r>
    </w:p>
    <w:p>
      <w:pPr>
        <w:pStyle w:val="ListBullet"/>
      </w:pPr>
      <w:r>
        <w:t>Manager-state re-verification after transfers.</w:t>
      </w:r>
    </w:p>
    <w:p>
      <w:pPr>
        <w:pStyle w:val="ListBullet"/>
      </w:pPr>
      <w:r>
        <w:t>Trust hierarchy, provenance and NO DATA = NO ANSWER.</w:t>
      </w:r>
    </w:p>
    <w:p>
      <w:pPr>
        <w:pStyle w:val="ListBullet"/>
      </w:pPr>
      <w:r>
        <w:t>Risk/upside strategy and controlled differentials.</w:t>
      </w:r>
    </w:p>
    <w:p>
      <w:pPr>
        <w:pStyle w:val="ListBullet"/>
      </w:pPr>
      <w:r>
        <w:t>Chip opportunity map and multi-GW planning.</w:t>
      </w:r>
    </w:p>
    <w:p>
      <w:pPr>
        <w:pStyle w:val="ListBullet"/>
      </w:pPr>
      <w:r>
        <w:t>Dream Team as post-GW evaluation only.</w:t>
      </w:r>
    </w:p>
    <w:p>
      <w:pPr>
        <w:pStyle w:val="ListBullet"/>
      </w:pPr>
      <w:r>
        <w:t>Cloud-first access and ₹0 cost target.</w:t>
      </w:r>
    </w:p>
    <w:p>
      <w:pPr>
        <w:pStyle w:val="ListBullet"/>
      </w:pPr>
      <w:r>
        <w:t>Future multi-user authentication and isolation.</w:t>
      </w:r>
    </w:p>
    <w:p>
      <w:pPr>
        <w:pStyle w:val="ListBullet"/>
      </w:pPr>
      <w:r>
        <w:t>FPL truth-layer architecture and caching/persistence.</w:t>
      </w:r>
    </w:p>
    <w:p>
      <w:pPr>
        <w:pStyle w:val="ListBullet"/>
      </w:pPr>
      <w:r>
        <w:t>Six-season historical dataset and walk-forward windows.</w:t>
      </w:r>
    </w:p>
    <w:p>
      <w:pPr>
        <w:pStyle w:val="ListBullet"/>
      </w:pPr>
      <w:r>
        <w:t>Historical player canonical grain, duplicate validation, NULL policy and postponed-GW handling.</w:t>
      </w:r>
    </w:p>
    <w:p>
      <w:pPr>
        <w:pStyle w:val="ListBullet"/>
      </w:pPr>
      <w:r>
        <w:t>Historical team layer and transparent team-strength layer.</w:t>
      </w:r>
    </w:p>
    <w:p>
      <w:pPr>
        <w:pStyle w:val="ListBullet"/>
      </w:pPr>
      <w:r>
        <w:t>Official FDR benchmark versus independent internal fixture model.</w:t>
      </w:r>
    </w:p>
    <w:p>
      <w:pPr>
        <w:pStyle w:val="ListBullet"/>
      </w:pPr>
      <w:r>
        <w:t>Prediction snapshots, model versions and auditability.</w:t>
      </w:r>
    </w:p>
    <w:p>
      <w:pPr>
        <w:pStyle w:val="ListBullet"/>
      </w:pPr>
      <w:r>
        <w:t>Roadmap ordering after the current implementation checkpoint.</w:t>
      </w:r>
    </w:p>
    <w:p>
      <w:pPr>
        <w:pStyle w:val="ListBullet"/>
      </w:pPr>
      <w:r>
        <w:t>Beginner-friendly coding and Git workflow.</w:t>
      </w:r>
    </w:p>
    <w:p>
      <w:pPr>
        <w:pStyle w:val="Heading1"/>
      </w:pPr>
      <w:bookmarkStart w:id="1004" w:name="IndexTarget1004"/>
      <w:r>
        <w:t>4. Current Implementation Checkpoint</w:t>
      </w:r>
      <w:bookmarkEnd w:id="1004"/>
    </w:p>
    <w:p>
      <w:pPr>
        <w:pStyle w:val="ListBullet"/>
      </w:pPr>
      <w:r>
        <w:t>GitHub commit 1182c23 — Add expected goals baseline and calibration — is the current pre-Historical-Prior baseline checkpoint.</w:t>
      </w:r>
    </w:p>
    <w:p>
      <w:pPr>
        <w:pStyle w:val="ListBullet"/>
      </w:pPr>
      <w:r>
        <w:t>The Historical Prior Layer methodology is now locked at V1; implementation and walk-forward dataset rebuild are the next technical steps.</w:t>
      </w:r>
    </w:p>
    <w:p>
      <w:pPr>
        <w:pStyle w:val="ListBullet"/>
      </w:pPr>
      <w:r>
        <w:t>The current expected-goals baseline and leakage-safe calibration work are treated as the pre-Historical-Prior baseline checkpoint; production parameter selection remains deferred until the state methodology is finalized.</w:t>
      </w:r>
    </w:p>
    <w:p>
      <w:pPr>
        <w:pStyle w:val="ListBullet"/>
      </w:pPr>
      <w:r>
        <w:t>GitHub commit 300c5a0 — Add historical player data ingestion and validation.</w:t>
      </w:r>
    </w:p>
    <w:p>
      <w:pPr>
        <w:pStyle w:val="ListBullet"/>
      </w:pPr>
      <w:r>
        <w:t>team_strength.py completed.</w:t>
      </w:r>
    </w:p>
    <w:p>
      <w:pPr>
        <w:pStyle w:val="ListBullet"/>
      </w:pPr>
      <w:r>
        <w:t>historical_team_data.py completed and validated: 2,280 matches across six seasons.</w:t>
      </w:r>
    </w:p>
    <w:p>
      <w:pPr>
        <w:pStyle w:val="ListBullet"/>
      </w:pPr>
      <w:r>
        <w:t>historical_player_data.py completed and validated: 163,394 canonical player-fixture records.</w:t>
      </w:r>
    </w:p>
    <w:p>
      <w:pPr>
        <w:pStyle w:val="ListBullet"/>
      </w:pPr>
      <w:r>
        <w:t>Known 2025/26 exact duplicates handled.</w:t>
      </w:r>
    </w:p>
    <w:p>
      <w:pPr>
        <w:pStyle w:val="ListBullet"/>
      </w:pPr>
      <w:r>
        <w:t>No unvalidated third-party xG/xA backfill has been introduced into the authoritative historical dataset.</w:t>
      </w:r>
    </w:p>
    <w:p>
      <w:pPr>
        <w:pStyle w:val="Heading2"/>
      </w:pPr>
      <w:r>
        <w:t>4.1 Database Architecture Checkpoint</w:t>
      </w:r>
    </w:p>
    <w:p>
      <w:pPr>
        <w:pStyle w:val="ListBullet"/>
      </w:pPr>
      <w:r>
        <w:t>Latest implementation checkpoint from 28 September 2026: commit 3ba5927 — Add incremental refresh and FPL rules layers; full test suite baseline was 131 passed in 11.21s before database changes.</w:t>
      </w:r>
    </w:p>
    <w:p>
      <w:pPr>
        <w:pStyle w:val="ListBullet"/>
      </w:pPr>
      <w:r>
        <w:t>Incremental refresh and FPL rules/freshness layers are implemented in the JSON-backed prototype and are to be preserved conceptually during SQLite migration.</w:t>
      </w:r>
    </w:p>
    <w:p>
      <w:pPr>
        <w:pStyle w:val="ListBullet"/>
      </w:pPr>
      <w:r>
        <w:t>The approved next sequence is SQLite schema → repository persistence → tests → refresh integration → availability/news → Expected Minutes → production expected points → strategy integration.</w:t>
      </w:r>
    </w:p>
    <w:p>
      <w:pPr>
        <w:pStyle w:val="ListBullet"/>
      </w:pPr>
      <w:r>
        <w:t>The database design checkpoint is complete; implementation may now proceed without changing app.py prematurely.</w:t>
      </w:r>
    </w:p>
    <w:p>
      <w:pPr>
        <w:pStyle w:val="Heading1"/>
      </w:pPr>
      <w:r>
        <w:t>Documentation Governance and Change Control</w:t>
      </w:r>
    </w:p>
    <w:p>
      <w:pPr>
        <w:pStyle w:val="ListBullet"/>
      </w:pPr>
      <w:r>
        <w:t>Documentation is maintained as a living set: BRD, Functional Specification, Technical Specification and Architecture &amp; Decision Log must remain mutually consistent with the repository and each other.</w:t>
      </w:r>
    </w:p>
    <w:p>
      <w:pPr>
        <w:pStyle w:val="ListBullet"/>
      </w:pPr>
      <w:r>
        <w:t>Material architecture, data-model, persistence, trust, modelling or operating decisions require a versioned documentation update and, where applicable, an Architecture Decision Log entry before the implementation is treated as the new baseline.</w:t>
      </w:r>
    </w:p>
    <w:p>
      <w:pPr>
        <w:pStyle w:val="ListBullet"/>
      </w:pPr>
      <w:r>
        <w:t>Git commit history is the implementation evidence; the documentation change log records the corresponding design/documentation checkpoint in IST. Documentation must not invent historical timestamps that cannot be verified.</w:t>
      </w:r>
    </w:p>
    <w:p>
      <w:pPr>
        <w:pStyle w:val="ListBullet"/>
      </w:pPr>
      <w:r>
        <w:t>The project documentation set should be stored under a repository documentation directory so future sessions can review the current design baseline directly from version control.</w:t>
      </w:r>
    </w:p>
    <w:p>
      <w:pPr>
        <w:pStyle w:val="Heading1"/>
      </w:pPr>
      <w:bookmarkStart w:id="1005" w:name="IndexTarget1005"/>
      <w:r>
        <w:t>5. Next Decisions to Record</w:t>
      </w:r>
      <w:bookmarkEnd w:id="1005"/>
    </w:p>
    <w:p>
      <w:pPr>
        <w:pStyle w:val="ListBullet"/>
      </w:pPr>
      <w:r>
        <w:t>Implement historical_prior.py as a separate module; do not modify historical_team_state.py for this layer.</w:t>
      </w:r>
    </w:p>
    <w:p>
      <w:pPr>
        <w:pStyle w:val="ListBullet"/>
      </w:pPr>
      <w:r>
        <w:t>Add unit and real-data validation for historical prior construction, including recency weighting, sample coverage, promoted/no-history handling and strict season boundaries.</w:t>
      </w:r>
    </w:p>
    <w:p>
      <w:pPr>
        <w:pStyle w:val="ListBullet"/>
      </w:pPr>
      <w:r>
        <w:t>Rebuild the walk-forward validation dataset so each test fixture has a leakage-safe historical prior alongside current-season point-in-time state.</w:t>
      </w:r>
    </w:p>
    <w:p>
      <w:pPr>
        <w:pStyle w:val="ListBullet"/>
      </w:pPr>
      <w:r>
        <w:t>Rerun expected-goals evaluation and leakage-safe shrinkage calibration only after the rebuilt dataset is validated.</w:t>
      </w:r>
    </w:p>
    <w:p>
      <w:pPr>
        <w:pStyle w:val="ListBullet"/>
      </w:pPr>
      <w:r>
        <w:t>Decide whether historical priors enter the expected-goals formula only after standalone and integrated walk-forward evidence is available.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FPL-Agent  |  v0.8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FPL-Agent — Architecture &amp; Decision Log</dc:title>
  <dc:subject>Living record of modelling, data, architecture, trust and product decisions</dc:subject>
  <dc:creator>python-docx</dc:creator>
  <cp:keywords/>
  <dc:description>Reformatted to standardized four-page front matter; substantive v0.8 content preserved.</dc:description>
  <cp:lastModifiedBy/>
  <cp:revision>1</cp:revision>
  <dcterms:created xsi:type="dcterms:W3CDTF">2013-12-23T23:15:00Z</dcterms:created>
  <dcterms:modified xsi:type="dcterms:W3CDTF">2013-12-23T23:15:00Z</dcterms:modified>
  <cp:category/>
  <cp:version>v0.4</cp:version>
</cp:coreProperties>
</file>