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Architecture &amp; Decision Log</w:t>
      </w:r>
    </w:p>
    <w:p>
      <w:pPr>
        <w:spacing w:before="280"/>
        <w:jc w:val="center"/>
      </w:pPr>
      <w:r>
        <w:rPr>
          <w:sz w:val="26"/>
        </w:rPr>
        <w:t>Living record of modelling, data, architecture, trust and product decisions</w:t>
      </w:r>
    </w:p>
    <w:p>
      <w:pPr>
        <w:spacing w:before="3744"/>
        <w:jc w:val="center"/>
      </w:pPr>
      <w:r>
        <w:rPr>
          <w:i/>
          <w:sz w:val="20"/>
        </w:rPr>
        <w:t>Living Project Documentation</w:t>
      </w:r>
    </w:p>
    <w:p>
      <w:pPr>
        <w:spacing w:before="160"/>
        <w:jc w:val="center"/>
      </w:pPr>
      <w:r>
        <w:t>Document version: v1.2</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architecture/model evolution. Earlier decisions were incorporated into the synchronized Architecture &amp; Decision Log;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Retained as an explicit pre-v0.5 architecture/data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 / ADL v0.1</w:t>
            </w:r>
          </w:p>
        </w:tc>
        <w:tc>
          <w:tcPr>
            <w:tcW w:type="dxa" w:w="3264"/>
          </w:tcPr>
          <w:p>
            <w:r>
              <w:t>Document history</w:t>
            </w:r>
          </w:p>
        </w:tc>
        <w:tc>
          <w:tcPr>
            <w:tcW w:type="dxa" w:w="1440"/>
          </w:tcPr>
          <w:p>
            <w:r/>
          </w:p>
        </w:tc>
        <w:tc>
          <w:tcPr>
            <w:tcW w:type="dxa" w:w="1440"/>
          </w:tcPr>
          <w:p>
            <w:r>
              <w:t>Historical</w:t>
            </w:r>
          </w:p>
        </w:tc>
        <w:tc>
          <w:tcPr>
            <w:tcW w:type="dxa" w:w="1440"/>
          </w:tcPr>
          <w:p>
            <w:r>
              <w:t>Created the Architecture &amp; Decision Log and recorded historical-data governance, statistical-first forecasting, walk-forward evaluation, project-owned retention, research-reference policy, prediction auditability and xGC validation decisions.</w:t>
            </w:r>
          </w:p>
        </w:tc>
      </w:tr>
      <w:tr>
        <w:tc>
          <w:tcPr>
            <w:tcW w:type="dxa" w:w="3264"/>
          </w:tcPr>
          <w:p>
            <w:r>
              <w:t>26 September 2026, 11:33:48 IST</w:t>
            </w:r>
          </w:p>
        </w:tc>
        <w:tc>
          <w:tcPr>
            <w:tcW w:type="dxa" w:w="3264"/>
          </w:tcPr>
          <w:p>
            <w:r>
              <w:t>v0.7 / ADL v0.2</w:t>
            </w:r>
          </w:p>
        </w:tc>
        <w:tc>
          <w:tcPr>
            <w:tcW w:type="dxa" w:w="3264"/>
          </w:tcPr>
          <w:p>
            <w:r>
              <w:t>Document history</w:t>
            </w:r>
          </w:p>
        </w:tc>
        <w:tc>
          <w:tcPr>
            <w:tcW w:type="dxa" w:w="1440"/>
          </w:tcPr>
          <w:p>
            <w:r/>
          </w:p>
        </w:tc>
        <w:tc>
          <w:tcPr>
            <w:tcW w:type="dxa" w:w="1440"/>
          </w:tcPr>
          <w:p>
            <w:r>
              <w:t>Historical</w:t>
            </w:r>
          </w:p>
        </w:tc>
        <w:tc>
          <w:tcPr>
            <w:tcW w:type="dxa" w:w="1440"/>
          </w:tcPr>
          <w:p>
            <w:r>
              <w:t>Recorded AD-013–AD-016 covering FPL-authoritative historical truth, secondary-source deferral, canonical historical player grain and the historical player ingestion checkpoint.</w:t>
            </w:r>
          </w:p>
        </w:tc>
      </w:tr>
      <w:tr>
        <w:tc>
          <w:tcPr>
            <w:tcW w:type="dxa" w:w="3264"/>
          </w:tcPr>
          <w:p>
            <w:r>
              <w:t>26 September 2026, 11:43 IST</w:t>
            </w:r>
          </w:p>
        </w:tc>
        <w:tc>
          <w:tcPr>
            <w:tcW w:type="dxa" w:w="3264"/>
          </w:tcPr>
          <w:p>
            <w:r>
              <w:t>v0.8 / ADL v0.3</w:t>
            </w:r>
          </w:p>
        </w:tc>
        <w:tc>
          <w:tcPr>
            <w:tcW w:type="dxa" w:w="3264"/>
          </w:tcPr>
          <w:p>
            <w:r>
              <w:t>Document history</w:t>
            </w:r>
          </w:p>
        </w:tc>
        <w:tc>
          <w:tcPr>
            <w:tcW w:type="dxa" w:w="1440"/>
          </w:tcPr>
          <w:p>
            <w:r/>
          </w:p>
        </w:tc>
        <w:tc>
          <w:tcPr>
            <w:tcW w:type="dxa" w:w="1440"/>
          </w:tcPr>
          <w:p>
            <w:r>
              <w:t>Historical</w:t>
            </w:r>
          </w:p>
        </w:tc>
        <w:tc>
          <w:tcPr>
            <w:tcW w:type="dxa" w:w="1440"/>
          </w:tcPr>
          <w:p>
            <w:r>
              <w:t>Recorded the full reconciliation of strategic, product, data, trust, cloud, multi-user, conversation, memory, risk/upside, chip, Dream Team, historical and modelling decisions.</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standardized title, Change Log, Index and main-content page structure; corrected recovered timestamps while preserving the v0.8 decision register.</w:t>
            </w:r>
          </w:p>
        </w:tc>
      </w:tr>
      <w:tr>
        <w:tc>
          <w:tcPr>
            <w:tcW w:type="dxa" w:w="3264"/>
          </w:tcPr>
          <w:p>
            <w:r>
              <w:t>26 September 2026, 19:08:00 IST</w:t>
            </w:r>
          </w:p>
        </w:tc>
        <w:tc>
          <w:tcPr>
            <w:tcW w:type="dxa" w:w="3264"/>
          </w:tcPr>
          <w:p>
            <w:r>
              <w:t>v0.5 / ADL v0.4</w:t>
            </w:r>
          </w:p>
        </w:tc>
        <w:tc>
          <w:tcPr>
            <w:tcW w:type="dxa" w:w="3264"/>
          </w:tcPr>
          <w:p>
            <w:r>
              <w:t>Document history</w:t>
            </w:r>
          </w:p>
        </w:tc>
        <w:tc>
          <w:tcPr>
            <w:tcW w:type="dxa" w:w="1440"/>
          </w:tcPr>
          <w:p>
            <w:r/>
          </w:p>
        </w:tc>
        <w:tc>
          <w:tcPr>
            <w:tcW w:type="dxa" w:w="1440"/>
          </w:tcPr>
          <w:p>
            <w:r>
              <w:t>Historical</w:t>
            </w:r>
          </w:p>
        </w:tc>
        <w:tc>
          <w:tcPr>
            <w:tcW w:type="dxa" w:w="1440"/>
          </w:tcPr>
          <w:p>
            <w:r>
              <w:t>Recorded AD-031 for the baseline expected-goals architecture: transparent statistical baseline, sample-size shrinkage, walk-forward calibration, naive benchmark, explicit exclusions and separation of team strength, match model, player expected points and strategy layers.</w:t>
            </w:r>
          </w:p>
        </w:tc>
      </w:tr>
      <w:tr>
        <w:tc>
          <w:tcPr>
            <w:tcW w:type="dxa" w:w="3264"/>
          </w:tcPr>
          <w:p>
            <w:r>
              <w:t>27 September 2026</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Recorded AD-032: separate Historical Prior Layer from Current-Season Point-in-Time State; documented recent-five boundary, promoted/relegated handling, leakage controls and staged validation before production use.</w:t>
            </w:r>
          </w:p>
        </w:tc>
      </w:tr>
      <w:tr>
        <w:tc>
          <w:tcPr>
            <w:tcW w:type="dxa" w:w="3264"/>
          </w:tcPr>
          <w:p>
            <w:r>
              <w:t>27 September 2026 14:25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Recorded AD-033 and locked the Historical Prior Layer methodology and next implementation/validation sequence.</w:t>
            </w:r>
          </w:p>
        </w:tc>
      </w:tr>
      <w:tr>
        <w:tc>
          <w:tcPr>
            <w:tcW w:type="dxa" w:w="3264"/>
          </w:tcPr>
          <w:p>
            <w:r>
              <w:t>30 September 2026, 22:19:49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Recorded the database architecture checkpoint and documentation governance decisions: SQLite-first persistence behind a repository abstraction, domain-based schema rather than code-file mirroring, current/historical separation, ingestion versus freshness separation, explicit lineage, canonical grains, season-finalization promotion, immutable historical truth and repository-hosted documentation as the durable design baseline.</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v1.0</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v1.0</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v1.0</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v1.0</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v1.0</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v1.0</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v1.0</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v1.1</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v1.1</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v1.1</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264"/>
          </w:tcPr>
          <w:p>
            <w:r>
              <w:t>3 October 2026</w:t>
            </w:r>
          </w:p>
        </w:tc>
        <w:tc>
          <w:tcPr>
            <w:tcW w:type="dxa" w:w="3264"/>
          </w:tcPr>
          <w:p>
            <w:r>
              <w:t>v1.2</w:t>
            </w:r>
          </w:p>
        </w:tc>
        <w:tc>
          <w:tcPr>
            <w:tcW w:type="dxa" w:w="3264"/>
          </w:tcPr>
          <w:p>
            <w:r>
              <w:t>Decision Register</w:t>
            </w:r>
          </w:p>
        </w:tc>
        <w:tc>
          <w:tcPr>
            <w:tcW w:type="dxa" w:w="1440"/>
          </w:tcPr>
          <w:p>
            <w:r>
              <w:t>AD-054 to AD-058</w:t>
            </w:r>
          </w:p>
        </w:tc>
        <w:tc>
          <w:tcPr>
            <w:tcW w:type="dxa" w:w="1440"/>
          </w:tcPr>
          <w:p>
            <w:r>
              <w:t>Updated</w:t>
            </w:r>
          </w:p>
        </w:tc>
        <w:tc>
          <w:tcPr>
            <w:tcW w:type="dxa" w:w="1440"/>
          </w:tcPr>
          <w:p>
            <w:r>
              <w:t>Added the multi-horizon scenario-optimization architecture and explicit quantitative/LLM responsibility boundary before Batch 18C implementation.</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Decision Register</w:t>
            </w:r>
          </w:p>
        </w:tc>
        <w:tc>
          <w:tcPr>
            <w:tcW w:type="dxa" w:w="3264"/>
          </w:tcPr>
          <w:p>
            <w:r>
              <w:t>4</w:t>
            </w:r>
          </w:p>
        </w:tc>
      </w:tr>
      <w:tr>
        <w:tc>
          <w:tcPr>
            <w:tcW w:type="dxa" w:w="3264"/>
          </w:tcPr>
          <w:p>
            <w:r>
              <w:t>3</w:t>
            </w:r>
          </w:p>
        </w:tc>
        <w:tc>
          <w:tcPr>
            <w:tcW w:type="dxa" w:w="3264"/>
          </w:tcPr>
          <w:p>
            <w:r>
              <w:t>2. Key Current Decisions by Domain</w:t>
            </w:r>
          </w:p>
        </w:tc>
        <w:tc>
          <w:tcPr>
            <w:tcW w:type="dxa" w:w="3264"/>
          </w:tcPr>
          <w:p>
            <w:r>
              <w:t>9</w:t>
            </w:r>
          </w:p>
        </w:tc>
      </w:tr>
      <w:tr>
        <w:tc>
          <w:tcPr>
            <w:tcW w:type="dxa" w:w="3264"/>
          </w:tcPr>
          <w:p>
            <w:r>
              <w:t>4</w:t>
            </w:r>
          </w:p>
        </w:tc>
        <w:tc>
          <w:tcPr>
            <w:tcW w:type="dxa" w:w="3264"/>
          </w:tcPr>
          <w:p>
            <w:r>
              <w:t>3. v0.8 Thread Reconciliation Record</w:t>
            </w:r>
          </w:p>
        </w:tc>
        <w:tc>
          <w:tcPr>
            <w:tcW w:type="dxa" w:w="3264"/>
          </w:tcPr>
          <w:p>
            <w:r>
              <w:t>10</w:t>
            </w:r>
          </w:p>
        </w:tc>
      </w:tr>
      <w:tr>
        <w:tc>
          <w:tcPr>
            <w:tcW w:type="dxa" w:w="3264"/>
          </w:tcPr>
          <w:p>
            <w:r>
              <w:t>5</w:t>
            </w:r>
          </w:p>
        </w:tc>
        <w:tc>
          <w:tcPr>
            <w:tcW w:type="dxa" w:w="3264"/>
          </w:tcPr>
          <w:p>
            <w:r>
              <w:t>4. Current Implementation Checkpoint</w:t>
            </w:r>
          </w:p>
        </w:tc>
        <w:tc>
          <w:tcPr>
            <w:tcW w:type="dxa" w:w="3264"/>
          </w:tcPr>
          <w:p>
            <w:r>
              <w:t>10</w:t>
            </w:r>
          </w:p>
        </w:tc>
      </w:tr>
      <w:tr>
        <w:tc>
          <w:tcPr>
            <w:tcW w:type="dxa" w:w="3264"/>
          </w:tcPr>
          <w:p>
            <w:r>
              <w:t>6</w:t>
            </w:r>
          </w:p>
        </w:tc>
        <w:tc>
          <w:tcPr>
            <w:tcW w:type="dxa" w:w="3264"/>
          </w:tcPr>
          <w:p>
            <w:r>
              <w:t>4.1 Database Architecture Checkpoint</w:t>
            </w:r>
          </w:p>
        </w:tc>
        <w:tc>
          <w:tcPr>
            <w:tcW w:type="dxa" w:w="3264"/>
          </w:tcPr>
          <w:p>
            <w:r>
              <w:t>10</w:t>
            </w:r>
          </w:p>
        </w:tc>
      </w:tr>
      <w:tr>
        <w:tc>
          <w:tcPr>
            <w:tcW w:type="dxa" w:w="3264"/>
          </w:tcPr>
          <w:p>
            <w:r>
              <w:t>7</w:t>
            </w:r>
          </w:p>
        </w:tc>
        <w:tc>
          <w:tcPr>
            <w:tcW w:type="dxa" w:w="3264"/>
          </w:tcPr>
          <w:p>
            <w:r>
              <w:t>Documentation Governance and Change Control</w:t>
            </w:r>
          </w:p>
        </w:tc>
        <w:tc>
          <w:tcPr>
            <w:tcW w:type="dxa" w:w="3264"/>
          </w:tcPr>
          <w:p>
            <w:r>
              <w:t>11</w:t>
            </w:r>
          </w:p>
        </w:tc>
      </w:tr>
      <w:tr>
        <w:tc>
          <w:tcPr>
            <w:tcW w:type="dxa" w:w="3264"/>
          </w:tcPr>
          <w:p>
            <w:r>
              <w:t>8</w:t>
            </w:r>
          </w:p>
        </w:tc>
        <w:tc>
          <w:tcPr>
            <w:tcW w:type="dxa" w:w="3264"/>
          </w:tcPr>
          <w:p>
            <w:r>
              <w:t>5. Next Decisions to Record</w:t>
            </w:r>
          </w:p>
        </w:tc>
        <w:tc>
          <w:tcPr>
            <w:tcW w:type="dxa" w:w="3264"/>
          </w:tcPr>
          <w:p>
            <w:r>
              <w:t>4</w:t>
            </w:r>
          </w:p>
        </w:tc>
      </w:tr>
      <w:tr>
        <w:tc>
          <w:tcPr>
            <w:tcW w:type="dxa" w:w="3264"/>
          </w:tcPr>
          <w:p>
            <w:r>
              <w:t>9</w:t>
            </w:r>
          </w:p>
        </w:tc>
        <w:tc>
          <w:tcPr>
            <w:tcW w:type="dxa" w:w="3264"/>
          </w:tcPr>
          <w:p>
            <w:r>
              <w:t>6. Post-83f3069 Decision and Implementation Reconciliation</w:t>
            </w:r>
          </w:p>
        </w:tc>
        <w:tc>
          <w:tcPr>
            <w:tcW w:type="dxa" w:w="3264"/>
          </w:tcPr>
          <w:p>
            <w:r>
              <w:t>11</w:t>
            </w:r>
          </w:p>
        </w:tc>
      </w:tr>
    </w:tbl>
    <w:p/>
    <w:p/>
    <w:p/>
    <w:p/>
    <w:p/>
    <w:p>
      <w:r>
        <w:br w:type="page"/>
      </w:r>
    </w:p>
    <w:p>
      <w:pPr>
        <w:pStyle w:val="Heading1"/>
      </w:pPr>
      <w:r>
        <w:t>6. Post-83f3069 Decision and Implementation Reconciliation</w:t>
      </w:r>
    </w:p>
    <w:p>
      <w:pPr>
        <w:spacing w:after="120"/>
      </w:pPr>
      <w:r>
        <w:t>The following decisions were implemented after the 83f3069 documentation checkpoint and are now part of the current architecture baseline.</w:t>
      </w:r>
    </w:p>
    <w:p>
      <w:pPr>
        <w:pStyle w:val="Heading2"/>
      </w:pPr>
      <w:r>
        <w:t>6.1 Batch 17 persistence decisions</w:t>
      </w:r>
    </w:p>
    <w:p>
      <w:pPr>
        <w:spacing w:after="120"/>
      </w:pPr>
      <w:r>
        <w:t>The refresh path now has explicit transactional, failure and idempotency semantics.</w:t>
      </w:r>
    </w:p>
    <w:p>
      <w:pPr>
        <w:pStyle w:val="Heading2"/>
      </w:pPr>
      <w:r>
        <w:t>6.2 Batch 18 production decision boundary</w:t>
      </w:r>
    </w:p>
    <w:p>
      <w:pPr>
        <w:spacing w:after="120"/>
      </w:pPr>
      <w:r>
        <w:t>The projection layer is deliberately separated from the strategy layer. The projection contract supplies verified model output and trust metadata; the orchestrator remains responsible for strategic comparison and decision generation.</w:t>
      </w:r>
    </w:p>
    <w:p>
      <w:pPr>
        <w:pStyle w:val="Heading2"/>
      </w:pPr>
      <w:r>
        <w:t>6.3 Decisions still open</w:t>
      </w:r>
    </w:p>
    <w:p>
      <w:pPr>
        <w:spacing w:after="120"/>
      </w:pPr>
      <w:r>
        <w:t>End-to-end application wiring, prediction snapshot persistence, production calibration gates and live GW6 validation remain future checkpoints; they are not claimed as completed by ce1c62c.</w:t>
      </w:r>
    </w:p>
    <w:p>
      <w:r>
        <w:br w:type="page"/>
      </w:r>
    </w:p>
    <w:p>
      <w:pPr>
        <w:pStyle w:val="Heading1"/>
      </w:pPr>
      <w:r>
        <w:t>Architecture &amp; Decision Log — Full Decision Reconciliation</w:t>
      </w:r>
    </w:p>
    <w:p>
      <w:r>
        <w:t>This is the authoritative decision-history appendix. Existing AD-001–AD-043 are preserved; post-30-Sep implementation decisions are added separately and mapped to batches.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p>
      <w:r>
        <w:br w:type="page"/>
      </w:r>
    </w:p>
    <w:p>
      <w:pPr>
        <w:pStyle w:val="Heading1"/>
      </w:pPr>
      <w:r>
        <w:t>Post-30-September Decision Register</w:t>
      </w:r>
    </w:p>
    <w:p>
      <w:r>
        <w:t>The pre-existing register AD-001–AD-043 remains the durable record of decisions through the 30 September 2026 database-design checkpoint. The following decisions record the material implementation-level architecture established by Batches 17–18; they do not replace earlier decisions.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
              <w:rPr>
                <w:b/>
                <w:sz w:val="16"/>
              </w:rPr>
              <w:t>ID</w:t>
            </w:r>
          </w:p>
        </w:tc>
        <w:tc>
          <w:tcPr>
            <w:tcW w:type="dxa" w:w="2448"/>
            <w:vAlign w:val="center"/>
          </w:tcPr>
          <w:p>
            <w:r/>
            <w:r>
              <w:rPr>
                <w:b/>
                <w:sz w:val="16"/>
              </w:rPr>
              <w:t>Decision</w:t>
            </w:r>
          </w:p>
        </w:tc>
        <w:tc>
          <w:tcPr>
            <w:tcW w:type="dxa" w:w="2448"/>
            <w:vAlign w:val="center"/>
          </w:tcPr>
          <w:p>
            <w:r/>
            <w:r>
              <w:rPr>
                <w:b/>
                <w:sz w:val="16"/>
              </w:rPr>
              <w:t>Decision / Rationale</w:t>
            </w:r>
          </w:p>
        </w:tc>
        <w:tc>
          <w:tcPr>
            <w:tcW w:type="dxa" w:w="2448"/>
            <w:vAlign w:val="center"/>
          </w:tcPr>
          <w:p>
            <w:r/>
            <w:r>
              <w:rPr>
                <w:b/>
                <w:sz w:val="16"/>
              </w:rPr>
              <w:t>Evidence</w:t>
            </w:r>
          </w:p>
        </w:tc>
      </w:tr>
      <w:tr>
        <w:tc>
          <w:tcPr>
            <w:tcW w:type="dxa" w:w="2448"/>
            <w:vAlign w:val="center"/>
          </w:tcPr>
          <w:p>
            <w:r/>
            <w:r>
              <w:rPr>
                <w:b w:val="0"/>
                <w:sz w:val="16"/>
              </w:rPr>
              <w:t>AD-044</w:t>
            </w:r>
          </w:p>
        </w:tc>
        <w:tc>
          <w:tcPr>
            <w:tcW w:type="dxa" w:w="2448"/>
            <w:vAlign w:val="center"/>
          </w:tcPr>
          <w:p>
            <w:r/>
            <w:r>
              <w:rPr>
                <w:b w:val="0"/>
                <w:sz w:val="16"/>
              </w:rPr>
              <w:t>Atomic canonical refresh</w:t>
            </w:r>
          </w:p>
        </w:tc>
        <w:tc>
          <w:tcPr>
            <w:tcW w:type="dxa" w:w="2448"/>
            <w:vAlign w:val="center"/>
          </w:tcPr>
          <w:p>
            <w:r/>
            <w:r>
              <w:rPr>
                <w:b w:val="0"/>
                <w:sz w:val="16"/>
              </w:rPr>
              <w:t>Global canonical FPL refresh writes must commit or roll back together through the repository transaction boundary.</w:t>
            </w:r>
          </w:p>
        </w:tc>
        <w:tc>
          <w:tcPr>
            <w:tcW w:type="dxa" w:w="2448"/>
            <w:vAlign w:val="center"/>
          </w:tcPr>
          <w:p>
            <w:r/>
            <w:r>
              <w:rPr>
                <w:b w:val="0"/>
                <w:sz w:val="16"/>
              </w:rPr>
              <w:t>Batch 17A / `502809e`</w:t>
            </w:r>
          </w:p>
        </w:tc>
      </w:tr>
      <w:tr>
        <w:tc>
          <w:tcPr>
            <w:tcW w:type="dxa" w:w="2448"/>
            <w:vAlign w:val="center"/>
          </w:tcPr>
          <w:p>
            <w:r/>
            <w:r>
              <w:rPr>
                <w:b w:val="0"/>
                <w:sz w:val="16"/>
              </w:rPr>
              <w:t>AD-045</w:t>
            </w:r>
          </w:p>
        </w:tc>
        <w:tc>
          <w:tcPr>
            <w:tcW w:type="dxa" w:w="2448"/>
            <w:vAlign w:val="center"/>
          </w:tcPr>
          <w:p>
            <w:r/>
            <w:r>
              <w:rPr>
                <w:b w:val="0"/>
                <w:sz w:val="16"/>
              </w:rPr>
              <w:t>Durable ingestion audit boundary</w:t>
            </w:r>
          </w:p>
        </w:tc>
        <w:tc>
          <w:tcPr>
            <w:tcW w:type="dxa" w:w="2448"/>
            <w:vAlign w:val="center"/>
          </w:tcPr>
          <w:p>
            <w:r/>
            <w:r>
              <w:rPr>
                <w:b w:val="0"/>
                <w:sz w:val="16"/>
              </w:rPr>
              <w:t>Create the ingestion execution record outside the canonical transaction so a failed persistence attempt remains auditable after rollback.</w:t>
            </w:r>
          </w:p>
        </w:tc>
        <w:tc>
          <w:tcPr>
            <w:tcW w:type="dxa" w:w="2448"/>
            <w:vAlign w:val="center"/>
          </w:tcPr>
          <w:p>
            <w:r/>
            <w:r>
              <w:rPr>
                <w:b w:val="0"/>
                <w:sz w:val="16"/>
              </w:rPr>
              <w:t>Batch 17A / `502809e`</w:t>
            </w:r>
          </w:p>
        </w:tc>
      </w:tr>
      <w:tr>
        <w:tc>
          <w:tcPr>
            <w:tcW w:type="dxa" w:w="2448"/>
            <w:vAlign w:val="center"/>
          </w:tcPr>
          <w:p>
            <w:r/>
            <w:r>
              <w:rPr>
                <w:b w:val="0"/>
                <w:sz w:val="16"/>
              </w:rPr>
              <w:t>AD-046</w:t>
            </w:r>
          </w:p>
        </w:tc>
        <w:tc>
          <w:tcPr>
            <w:tcW w:type="dxa" w:w="2448"/>
            <w:vAlign w:val="center"/>
          </w:tcPr>
          <w:p>
            <w:r/>
            <w:r>
              <w:rPr>
                <w:b w:val="0"/>
                <w:sz w:val="16"/>
              </w:rPr>
              <w:t>Failed refresh preserves prior canonical success</w:t>
            </w:r>
          </w:p>
        </w:tc>
        <w:tc>
          <w:tcPr>
            <w:tcW w:type="dxa" w:w="2448"/>
            <w:vAlign w:val="center"/>
          </w:tcPr>
          <w:p>
            <w:r/>
            <w:r>
              <w:rPr>
                <w:b w:val="0"/>
                <w:sz w:val="16"/>
              </w:rPr>
              <w:t>A refresh failure after a previous successful refresh must not corrupt prior canonical data; the failed run is recorded and freshness becomes STALE.</w:t>
            </w:r>
          </w:p>
        </w:tc>
        <w:tc>
          <w:tcPr>
            <w:tcW w:type="dxa" w:w="2448"/>
            <w:vAlign w:val="center"/>
          </w:tcPr>
          <w:p>
            <w:r/>
            <w:r>
              <w:rPr>
                <w:b w:val="0"/>
                <w:sz w:val="16"/>
              </w:rPr>
              <w:t>Batch 17B / `b4c20b1`</w:t>
            </w:r>
          </w:p>
        </w:tc>
      </w:tr>
      <w:tr>
        <w:tc>
          <w:tcPr>
            <w:tcW w:type="dxa" w:w="2448"/>
            <w:vAlign w:val="center"/>
          </w:tcPr>
          <w:p>
            <w:r/>
            <w:r>
              <w:rPr>
                <w:b w:val="0"/>
                <w:sz w:val="16"/>
              </w:rPr>
              <w:t>AD-047</w:t>
            </w:r>
          </w:p>
        </w:tc>
        <w:tc>
          <w:tcPr>
            <w:tcW w:type="dxa" w:w="2448"/>
            <w:vAlign w:val="center"/>
          </w:tcPr>
          <w:p>
            <w:r/>
            <w:r>
              <w:rPr>
                <w:b w:val="0"/>
                <w:sz w:val="16"/>
              </w:rPr>
              <w:t>Refresh idempotency</w:t>
            </w:r>
          </w:p>
        </w:tc>
        <w:tc>
          <w:tcPr>
            <w:tcW w:type="dxa" w:w="2448"/>
            <w:vAlign w:val="center"/>
          </w:tcPr>
          <w:p>
            <w:r/>
            <w:r>
              <w:rPr>
                <w:b w:val="0"/>
                <w:sz w:val="16"/>
              </w:rPr>
              <w:t>Repeated identical refreshes must not create duplicate current/master logical records; snapshots remain append-style.</w:t>
            </w:r>
          </w:p>
        </w:tc>
        <w:tc>
          <w:tcPr>
            <w:tcW w:type="dxa" w:w="2448"/>
            <w:vAlign w:val="center"/>
          </w:tcPr>
          <w:p>
            <w:r/>
            <w:r>
              <w:rPr>
                <w:b w:val="0"/>
                <w:sz w:val="16"/>
              </w:rPr>
              <w:t>Batch 17C / `fbacb99`</w:t>
            </w:r>
          </w:p>
        </w:tc>
      </w:tr>
      <w:tr>
        <w:tc>
          <w:tcPr>
            <w:tcW w:type="dxa" w:w="2448"/>
            <w:vAlign w:val="center"/>
          </w:tcPr>
          <w:p>
            <w:r/>
            <w:r>
              <w:rPr>
                <w:b w:val="0"/>
                <w:sz w:val="16"/>
              </w:rPr>
              <w:t>AD-048</w:t>
            </w:r>
          </w:p>
        </w:tc>
        <w:tc>
          <w:tcPr>
            <w:tcW w:type="dxa" w:w="2448"/>
            <w:vAlign w:val="center"/>
          </w:tcPr>
          <w:p>
            <w:r/>
            <w:r>
              <w:rPr>
                <w:b w:val="0"/>
                <w:sz w:val="16"/>
              </w:rPr>
              <w:t>Changed source records update in place</w:t>
            </w:r>
          </w:p>
        </w:tc>
        <w:tc>
          <w:tcPr>
            <w:tcW w:type="dxa" w:w="2448"/>
            <w:vAlign w:val="center"/>
          </w:tcPr>
          <w:p>
            <w:r/>
            <w:r>
              <w:rPr>
                <w:b w:val="0"/>
                <w:sz w:val="16"/>
              </w:rPr>
              <w:t>A changed player/fixture source record updates its current/master representation without duplicating the logical current record.</w:t>
            </w:r>
          </w:p>
        </w:tc>
        <w:tc>
          <w:tcPr>
            <w:tcW w:type="dxa" w:w="2448"/>
            <w:vAlign w:val="center"/>
          </w:tcPr>
          <w:p>
            <w:r/>
            <w:r>
              <w:rPr>
                <w:b w:val="0"/>
                <w:sz w:val="16"/>
              </w:rPr>
              <w:t>Batch 17C / `fbacb99`</w:t>
            </w:r>
          </w:p>
        </w:tc>
      </w:tr>
      <w:tr>
        <w:tc>
          <w:tcPr>
            <w:tcW w:type="dxa" w:w="2448"/>
            <w:vAlign w:val="center"/>
          </w:tcPr>
          <w:p>
            <w:r/>
            <w:r>
              <w:rPr>
                <w:b w:val="0"/>
                <w:sz w:val="16"/>
              </w:rPr>
              <w:t>AD-049</w:t>
            </w:r>
          </w:p>
        </w:tc>
        <w:tc>
          <w:tcPr>
            <w:tcW w:type="dxa" w:w="2448"/>
            <w:vAlign w:val="center"/>
          </w:tcPr>
          <w:p>
            <w:r/>
            <w:r>
              <w:rPr>
                <w:b w:val="0"/>
                <w:sz w:val="16"/>
              </w:rPr>
              <w:t>Latest-ingestion freshness association</w:t>
            </w:r>
          </w:p>
        </w:tc>
        <w:tc>
          <w:tcPr>
            <w:tcW w:type="dxa" w:w="2448"/>
            <w:vAlign w:val="center"/>
          </w:tcPr>
          <w:p>
            <w:r/>
            <w:r>
              <w:rPr>
                <w:b w:val="0"/>
                <w:sz w:val="16"/>
              </w:rPr>
              <w:t>Dataset freshness points to the latest ingestion attempt relevant to the dataset, preserving operational auditability.</w:t>
            </w:r>
          </w:p>
        </w:tc>
        <w:tc>
          <w:tcPr>
            <w:tcW w:type="dxa" w:w="2448"/>
            <w:vAlign w:val="center"/>
          </w:tcPr>
          <w:p>
            <w:r/>
            <w:r>
              <w:rPr>
                <w:b w:val="0"/>
                <w:sz w:val="16"/>
              </w:rPr>
              <w:t>Batch 17C / `fbacb99`</w:t>
            </w:r>
          </w:p>
        </w:tc>
      </w:tr>
      <w:tr>
        <w:tc>
          <w:tcPr>
            <w:tcW w:type="dxa" w:w="2448"/>
            <w:vAlign w:val="center"/>
          </w:tcPr>
          <w:p>
            <w:r/>
            <w:r>
              <w:rPr>
                <w:b w:val="0"/>
                <w:sz w:val="16"/>
              </w:rPr>
              <w:t>AD-050</w:t>
            </w:r>
          </w:p>
        </w:tc>
        <w:tc>
          <w:tcPr>
            <w:tcW w:type="dxa" w:w="2448"/>
            <w:vAlign w:val="center"/>
          </w:tcPr>
          <w:p>
            <w:r/>
            <w:r>
              <w:rPr>
                <w:b w:val="0"/>
                <w:sz w:val="16"/>
              </w:rPr>
              <w:t>Production projection runtime boundary</w:t>
            </w:r>
          </w:p>
        </w:tc>
        <w:tc>
          <w:tcPr>
            <w:tcW w:type="dxa" w:w="2448"/>
            <w:vAlign w:val="center"/>
          </w:tcPr>
          <w:p>
            <w:r/>
            <w:r>
              <w:rPr>
                <w:b w:val="0"/>
                <w:sz w:val="16"/>
              </w:rPr>
              <w:t>ProductionProjectionResult is a runtime projection contract, not a new canonical relational entity.</w:t>
            </w:r>
          </w:p>
        </w:tc>
        <w:tc>
          <w:tcPr>
            <w:tcW w:type="dxa" w:w="2448"/>
            <w:vAlign w:val="center"/>
          </w:tcPr>
          <w:p>
            <w:r/>
            <w:r>
              <w:rPr>
                <w:b w:val="0"/>
                <w:sz w:val="16"/>
              </w:rPr>
              <w:t>Batch 18A / `0905d96`</w:t>
            </w:r>
          </w:p>
        </w:tc>
      </w:tr>
      <w:tr>
        <w:tc>
          <w:tcPr>
            <w:tcW w:type="dxa" w:w="2448"/>
            <w:vAlign w:val="center"/>
          </w:tcPr>
          <w:p>
            <w:r/>
            <w:r>
              <w:rPr>
                <w:b w:val="0"/>
                <w:sz w:val="16"/>
              </w:rPr>
              <w:t>AD-051</w:t>
            </w:r>
          </w:p>
        </w:tc>
        <w:tc>
          <w:tcPr>
            <w:tcW w:type="dxa" w:w="2448"/>
            <w:vAlign w:val="center"/>
          </w:tcPr>
          <w:p>
            <w:r/>
            <w:r>
              <w:rPr>
                <w:b w:val="0"/>
                <w:sz w:val="16"/>
              </w:rPr>
              <w:t>Point-in-time projection horizon</w:t>
            </w:r>
          </w:p>
        </w:tc>
        <w:tc>
          <w:tcPr>
            <w:tcW w:type="dxa" w:w="2448"/>
            <w:vAlign w:val="center"/>
          </w:tcPr>
          <w:p>
            <w:r/>
            <w:r>
              <w:rPr>
                <w:b w:val="0"/>
                <w:sz w:val="16"/>
              </w:rPr>
              <w:t>Production projections use completed fixtures strictly before the target cutoff for state and requested future/uncompleted fixtures for the horizon.</w:t>
            </w:r>
          </w:p>
        </w:tc>
        <w:tc>
          <w:tcPr>
            <w:tcW w:type="dxa" w:w="2448"/>
            <w:vAlign w:val="center"/>
          </w:tcPr>
          <w:p>
            <w:r/>
            <w:r>
              <w:rPr>
                <w:b w:val="0"/>
                <w:sz w:val="16"/>
              </w:rPr>
              <w:t>Batch 18A / `0905d96`</w:t>
            </w:r>
          </w:p>
        </w:tc>
      </w:tr>
      <w:tr>
        <w:tc>
          <w:tcPr>
            <w:tcW w:type="dxa" w:w="2448"/>
            <w:vAlign w:val="center"/>
          </w:tcPr>
          <w:p>
            <w:r/>
            <w:r>
              <w:rPr>
                <w:b w:val="0"/>
                <w:sz w:val="16"/>
              </w:rPr>
              <w:t>AD-052</w:t>
            </w:r>
          </w:p>
        </w:tc>
        <w:tc>
          <w:tcPr>
            <w:tcW w:type="dxa" w:w="2448"/>
            <w:vAlign w:val="center"/>
          </w:tcPr>
          <w:p>
            <w:r/>
            <w:r>
              <w:rPr>
                <w:b w:val="0"/>
                <w:sz w:val="16"/>
              </w:rPr>
              <w:t>Authoritative projection contract name</w:t>
            </w:r>
          </w:p>
        </w:tc>
        <w:tc>
          <w:tcPr>
            <w:tcW w:type="dxa" w:w="2448"/>
            <w:vAlign w:val="center"/>
          </w:tcPr>
          <w:p>
            <w:r/>
            <w:r>
              <w:rPr>
                <w:b w:val="0"/>
                <w:sz w:val="16"/>
              </w:rPr>
              <w:t>The strategy-facing projection contract exposes `horizon_expected_points`; adapter logic must normalize lower-level aggregation names to this contract.</w:t>
            </w:r>
          </w:p>
        </w:tc>
        <w:tc>
          <w:tcPr>
            <w:tcW w:type="dxa" w:w="2448"/>
            <w:vAlign w:val="center"/>
          </w:tcPr>
          <w:p>
            <w:r/>
            <w:r>
              <w:rPr>
                <w:b w:val="0"/>
                <w:sz w:val="16"/>
              </w:rPr>
              <w:t>Batch 18A / `0905d96`</w:t>
            </w:r>
          </w:p>
        </w:tc>
      </w:tr>
      <w:tr>
        <w:tc>
          <w:tcPr>
            <w:tcW w:type="dxa" w:w="2448"/>
            <w:vAlign w:val="center"/>
          </w:tcPr>
          <w:p>
            <w:r/>
            <w:r>
              <w:rPr>
                <w:b w:val="0"/>
                <w:sz w:val="16"/>
              </w:rPr>
              <w:t>AD-053</w:t>
            </w:r>
          </w:p>
        </w:tc>
        <w:tc>
          <w:tcPr>
            <w:tcW w:type="dxa" w:w="2448"/>
            <w:vAlign w:val="center"/>
          </w:tcPr>
          <w:p>
            <w:r/>
            <w:r>
              <w:rPr>
                <w:b w:val="0"/>
                <w:sz w:val="16"/>
              </w:rPr>
              <w:t>Typed production orchestration boundary</w:t>
            </w:r>
          </w:p>
        </w:tc>
        <w:tc>
          <w:tcPr>
            <w:tcW w:type="dxa" w:w="2448"/>
            <w:vAlign w:val="center"/>
          </w:tcPr>
          <w:p>
            <w:r/>
            <w:r>
              <w:rPr>
                <w:b w:val="0"/>
                <w:sz w:val="16"/>
              </w:rPr>
              <w:t>The strategy orchestrator accepts a typed ProductionProjectionResult and passes its projections as the authoritative strategy input.</w:t>
            </w:r>
          </w:p>
        </w:tc>
        <w:tc>
          <w:tcPr>
            <w:tcW w:type="dxa" w:w="2448"/>
            <w:vAlign w:val="center"/>
          </w:tcPr>
          <w:p>
            <w:r/>
            <w:r>
              <w:rPr>
                <w:b w:val="0"/>
                <w:sz w:val="16"/>
              </w:rPr>
              <w:t>Batch 18B / `ce1c62c`</w:t>
            </w:r>
          </w:p>
        </w:tc>
      </w:tr>
      <w:tr>
        <w:tc>
          <w:tcPr>
            <w:tcW w:type="dxa" w:w="2448"/>
            <w:vAlign w:val="center"/>
          </w:tcPr>
          <w:p>
            <w:r/>
            <w:r>
              <w:rPr>
                <w:b w:val="0"/>
                <w:sz w:val="16"/>
              </w:rPr>
              <w:t>AD-054</w:t>
            </w:r>
          </w:p>
        </w:tc>
        <w:tc>
          <w:tcPr>
            <w:tcW w:type="dxa" w:w="2448"/>
            <w:vAlign w:val="center"/>
          </w:tcPr>
          <w:p>
            <w:r/>
            <w:r>
              <w:rPr>
                <w:b w:val="0"/>
                <w:sz w:val="16"/>
              </w:rPr>
              <w:t>Projection trust propagation</w:t>
            </w:r>
          </w:p>
        </w:tc>
        <w:tc>
          <w:tcPr>
            <w:tcW w:type="dxa" w:w="2448"/>
            <w:vAlign w:val="center"/>
          </w:tcPr>
          <w:p>
            <w:r/>
            <w:r>
              <w:rPr>
                <w:b w:val="0"/>
                <w:sz w:val="16"/>
              </w:rPr>
              <w:t>Projection completeness and warnings must propagate into the final strategic decision; model version is recorded for auditability.</w:t>
            </w:r>
          </w:p>
        </w:tc>
        <w:tc>
          <w:tcPr>
            <w:tcW w:type="dxa" w:w="2448"/>
            <w:vAlign w:val="center"/>
          </w:tcPr>
          <w:p>
            <w:r/>
            <w:r>
              <w:rPr>
                <w:b w:val="0"/>
                <w:sz w:val="16"/>
              </w:rPr>
              <w:t>Batch 18B / `ce1c62c`</w:t>
            </w:r>
          </w:p>
        </w:tc>
      </w:tr>
      <w:tr>
        <w:tc>
          <w:tcPr>
            <w:tcW w:type="dxa" w:w="2448"/>
            <w:vAlign w:val="center"/>
          </w:tcPr>
          <w:p>
            <w:r/>
            <w:r>
              <w:rPr>
                <w:b w:val="0"/>
                <w:sz w:val="16"/>
              </w:rPr>
              <w:t>AD-055</w:t>
            </w:r>
          </w:p>
        </w:tc>
        <w:tc>
          <w:tcPr>
            <w:tcW w:type="dxa" w:w="2448"/>
            <w:vAlign w:val="center"/>
          </w:tcPr>
          <w:p>
            <w:r/>
            <w:r>
              <w:rPr>
                <w:b w:val="0"/>
                <w:sz w:val="16"/>
              </w:rPr>
              <w:t>Backward-compatible orchestration versioning</w:t>
            </w:r>
          </w:p>
        </w:tc>
        <w:tc>
          <w:tcPr>
            <w:tcW w:type="dxa" w:w="2448"/>
            <w:vAlign w:val="center"/>
          </w:tcPr>
          <w:p>
            <w:r/>
            <w:r>
              <w:rPr>
                <w:b w:val="0"/>
                <w:sz w:val="16"/>
              </w:rPr>
              <w:t>Legacy direct orchestration remains at v1.2 while the production projection adapter is versioned v1.3 until migration/removal is proven.</w:t>
            </w:r>
          </w:p>
        </w:tc>
        <w:tc>
          <w:tcPr>
            <w:tcW w:type="dxa" w:w="2448"/>
            <w:vAlign w:val="center"/>
          </w:tcPr>
          <w:p>
            <w:r/>
            <w:r>
              <w:rPr>
                <w:b w:val="0"/>
                <w:sz w:val="16"/>
              </w:rPr>
              <w:t>Batch 18B / `ce1c62c`</w:t>
            </w:r>
          </w:p>
        </w:tc>
      </w:tr>
      <w:tr>
        <w:tc>
          <w:tcPr>
            <w:tcW w:type="dxa" w:w="2448"/>
          </w:tcPr>
          <w:p>
            <w:r>
              <w:t>AD-054</w:t>
            </w:r>
          </w:p>
        </w:tc>
        <w:tc>
          <w:tcPr>
            <w:tcW w:type="dxa" w:w="2448"/>
          </w:tcPr>
          <w:p>
            <w:r>
              <w:t>Multi-horizon evaluation windows</w:t>
            </w:r>
          </w:p>
        </w:tc>
        <w:tc>
          <w:tcPr>
            <w:tcW w:type="dxa" w:w="2448"/>
          </w:tcPr>
          <w:p>
            <w:r>
              <w:t>Use Target GW plus 3-GW, 5-GW and 8-GW windows as overlapping evaluation lenses over a common production projection basis; they are not independent recommendation engines.</w:t>
            </w:r>
          </w:p>
        </w:tc>
        <w:tc>
          <w:tcPr>
            <w:tcW w:type="dxa" w:w="2448"/>
          </w:tcPr>
          <w:p>
            <w:r>
              <w:t>Design decision / pre-Batch 18C</w:t>
            </w:r>
          </w:p>
        </w:tc>
      </w:tr>
      <w:tr>
        <w:tc>
          <w:tcPr>
            <w:tcW w:type="dxa" w:w="2448"/>
          </w:tcPr>
          <w:p>
            <w:r>
              <w:t>AD-055</w:t>
            </w:r>
          </w:p>
        </w:tc>
        <w:tc>
          <w:tcPr>
            <w:tcW w:type="dxa" w:w="2448"/>
          </w:tcPr>
          <w:p>
            <w:r>
              <w:t>Scenario is the optimization unit</w:t>
            </w:r>
          </w:p>
        </w:tc>
        <w:tc>
          <w:tcPr>
            <w:tcW w:type="dxa" w:w="2448"/>
          </w:tcPr>
          <w:p>
            <w:r>
              <w:t>Optimize feasible strategy scenarios containing transfers, transfer sequencing, hits, captaincy, chips and future flexibility rather than optimizing individual transfers in isolation.</w:t>
            </w:r>
          </w:p>
        </w:tc>
        <w:tc>
          <w:tcPr>
            <w:tcW w:type="dxa" w:w="2448"/>
          </w:tcPr>
          <w:p>
            <w:r>
              <w:t>Design decision / pre-Batch 18C</w:t>
            </w:r>
          </w:p>
        </w:tc>
      </w:tr>
      <w:tr>
        <w:tc>
          <w:tcPr>
            <w:tcW w:type="dxa" w:w="2448"/>
          </w:tcPr>
          <w:p>
            <w:r>
              <w:t>AD-056</w:t>
            </w:r>
          </w:p>
        </w:tc>
        <w:tc>
          <w:tcPr>
            <w:tcW w:type="dxa" w:w="2448"/>
          </w:tcPr>
          <w:p>
            <w:r>
              <w:t>Cross-horizon reconciliation</w:t>
            </w:r>
          </w:p>
        </w:tc>
        <w:tc>
          <w:tcPr>
            <w:tcW w:type="dxa" w:w="2448"/>
          </w:tcPr>
          <w:p>
            <w:r>
              <w:t>When horizon-specific optima conflict, the strategist must surface the trade-off and evaluate a feasible hybrid strategy where appropriate rather than silently privileging one horizon.</w:t>
            </w:r>
          </w:p>
        </w:tc>
        <w:tc>
          <w:tcPr>
            <w:tcW w:type="dxa" w:w="2448"/>
          </w:tcPr>
          <w:p>
            <w:r>
              <w:t>Design decision / pre-Batch 18C</w:t>
            </w:r>
          </w:p>
        </w:tc>
      </w:tr>
      <w:tr>
        <w:tc>
          <w:tcPr>
            <w:tcW w:type="dxa" w:w="2448"/>
          </w:tcPr>
          <w:p>
            <w:r>
              <w:t>AD-057</w:t>
            </w:r>
          </w:p>
        </w:tc>
        <w:tc>
          <w:tcPr>
            <w:tcW w:type="dxa" w:w="2448"/>
          </w:tcPr>
          <w:p>
            <w:r>
              <w:t>Horizon uncertainty is explicit</w:t>
            </w:r>
          </w:p>
        </w:tc>
        <w:tc>
          <w:tcPr>
            <w:tcW w:type="dxa" w:w="2448"/>
          </w:tcPr>
          <w:p>
            <w:r>
              <w:t>Longer horizons provide strategic context but are less certain; completeness, warnings and model-version metadata must remain visible and any weighting/risk treatment must be versioned and validated.</w:t>
            </w:r>
          </w:p>
        </w:tc>
        <w:tc>
          <w:tcPr>
            <w:tcW w:type="dxa" w:w="2448"/>
          </w:tcPr>
          <w:p>
            <w:r>
              <w:t>Design decision / pre-Batch 18C</w:t>
            </w:r>
          </w:p>
        </w:tc>
      </w:tr>
      <w:tr>
        <w:tc>
          <w:tcPr>
            <w:tcW w:type="dxa" w:w="2448"/>
          </w:tcPr>
          <w:p>
            <w:r>
              <w:t>AD-058</w:t>
            </w:r>
          </w:p>
        </w:tc>
        <w:tc>
          <w:tcPr>
            <w:tcW w:type="dxa" w:w="2448"/>
          </w:tcPr>
          <w:p>
            <w:r>
              <w:t>LLM is explanatory, not quantitative truth</w:t>
            </w:r>
          </w:p>
        </w:tc>
        <w:tc>
          <w:tcPr>
            <w:tcW w:type="dxa" w:w="2448"/>
          </w:tcPr>
          <w:p>
            <w:r>
              <w:t>LLM reasoning may explain verified scenario results but may not invent projection, fixture, manager-state or numerical scenario facts.</w:t>
            </w:r>
          </w:p>
        </w:tc>
        <w:tc>
          <w:tcPr>
            <w:tcW w:type="dxa" w:w="2448"/>
          </w:tcPr>
          <w:p>
            <w:r>
              <w:t>Design decision / pre-Batch 18C</w:t>
            </w:r>
          </w:p>
        </w:tc>
      </w:tr>
    </w:tbl>
    <w:p/>
    <w:p>
      <w:pPr>
        <w:pStyle w:val="Heading2"/>
      </w:pPr>
      <w:r>
        <w:t>Batch-to-Decision Coverage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
              <w:rPr>
                <w:b/>
                <w:sz w:val="16"/>
              </w:rPr>
              <w:t>Batches</w:t>
            </w:r>
          </w:p>
        </w:tc>
        <w:tc>
          <w:tcPr>
            <w:tcW w:type="dxa" w:w="3264"/>
            <w:vAlign w:val="center"/>
          </w:tcPr>
          <w:p>
            <w:r/>
            <w:r>
              <w:rPr>
                <w:b/>
                <w:sz w:val="16"/>
              </w:rPr>
              <w:t>Decision coverage</w:t>
            </w:r>
          </w:p>
        </w:tc>
        <w:tc>
          <w:tcPr>
            <w:tcW w:type="dxa" w:w="3264"/>
            <w:vAlign w:val="center"/>
          </w:tcPr>
          <w:p>
            <w:r/>
            <w:r>
              <w:rPr>
                <w:b/>
                <w:sz w:val="16"/>
              </w:rPr>
              <w:t>What is captured</w:t>
            </w:r>
          </w:p>
        </w:tc>
      </w:tr>
      <w:tr>
        <w:tc>
          <w:tcPr>
            <w:tcW w:type="dxa" w:w="3264"/>
            <w:vAlign w:val="center"/>
          </w:tcPr>
          <w:p>
            <w:r/>
            <w:r>
              <w:rPr>
                <w:b w:val="0"/>
                <w:sz w:val="16"/>
              </w:rPr>
              <w:t>1–4</w:t>
            </w:r>
          </w:p>
        </w:tc>
        <w:tc>
          <w:tcPr>
            <w:tcW w:type="dxa" w:w="3264"/>
            <w:vAlign w:val="center"/>
          </w:tcPr>
          <w:p>
            <w:r/>
            <w:r>
              <w:rPr>
                <w:b w:val="0"/>
                <w:sz w:val="16"/>
              </w:rPr>
              <w:t>AD-034–043 and earlier data-source/truth decisions</w:t>
            </w:r>
          </w:p>
        </w:tc>
        <w:tc>
          <w:tcPr>
            <w:tcW w:type="dxa" w:w="3264"/>
            <w:vAlign w:val="center"/>
          </w:tcPr>
          <w:p>
            <w:r/>
            <w:r>
              <w:rPr>
                <w:b w:val="0"/>
                <w:sz w:val="16"/>
              </w:rPr>
              <w:t>SQLite foundation, repository abstraction, refresh path, source separation</w:t>
            </w:r>
          </w:p>
        </w:tc>
      </w:tr>
      <w:tr>
        <w:tc>
          <w:tcPr>
            <w:tcW w:type="dxa" w:w="3264"/>
            <w:vAlign w:val="center"/>
          </w:tcPr>
          <w:p>
            <w:r/>
            <w:r>
              <w:rPr>
                <w:b w:val="0"/>
                <w:sz w:val="16"/>
              </w:rPr>
              <w:t>5–7</w:t>
            </w:r>
          </w:p>
        </w:tc>
        <w:tc>
          <w:tcPr>
            <w:tcW w:type="dxa" w:w="3264"/>
            <w:vAlign w:val="center"/>
          </w:tcPr>
          <w:p>
            <w:r/>
            <w:r>
              <w:rPr>
                <w:b w:val="0"/>
                <w:sz w:val="16"/>
              </w:rPr>
              <w:t>AD-017–026, AD-034–041</w:t>
            </w:r>
          </w:p>
        </w:tc>
        <w:tc>
          <w:tcPr>
            <w:tcW w:type="dxa" w:w="3264"/>
            <w:vAlign w:val="center"/>
          </w:tcPr>
          <w:p>
            <w:r/>
            <w:r>
              <w:rPr>
                <w:b w:val="0"/>
                <w:sz w:val="16"/>
              </w:rPr>
              <w:t>Manager state, multi-league/rivals, freshness and refresh semantics</w:t>
            </w:r>
          </w:p>
        </w:tc>
      </w:tr>
      <w:tr>
        <w:tc>
          <w:tcPr>
            <w:tcW w:type="dxa" w:w="3264"/>
            <w:vAlign w:val="center"/>
          </w:tcPr>
          <w:p>
            <w:r/>
            <w:r>
              <w:rPr>
                <w:b w:val="0"/>
                <w:sz w:val="16"/>
              </w:rPr>
              <w:t>8–9</w:t>
            </w:r>
          </w:p>
        </w:tc>
        <w:tc>
          <w:tcPr>
            <w:tcW w:type="dxa" w:w="3264"/>
            <w:vAlign w:val="center"/>
          </w:tcPr>
          <w:p>
            <w:r/>
            <w:r>
              <w:rPr>
                <w:b w:val="0"/>
                <w:sz w:val="16"/>
              </w:rPr>
              <w:t>AD-003–011, AD-031–033</w:t>
            </w:r>
          </w:p>
        </w:tc>
        <w:tc>
          <w:tcPr>
            <w:tcW w:type="dxa" w:w="3264"/>
            <w:vAlign w:val="center"/>
          </w:tcPr>
          <w:p>
            <w:r/>
            <w:r>
              <w:rPr>
                <w:b w:val="0"/>
                <w:sz w:val="16"/>
              </w:rPr>
              <w:t>Fixture xP, Expected Minutes, statistical-first and point-in-time modelling</w:t>
            </w:r>
          </w:p>
        </w:tc>
      </w:tr>
      <w:tr>
        <w:tc>
          <w:tcPr>
            <w:tcW w:type="dxa" w:w="3264"/>
            <w:vAlign w:val="center"/>
          </w:tcPr>
          <w:p>
            <w:r/>
            <w:r>
              <w:rPr>
                <w:b w:val="0"/>
                <w:sz w:val="16"/>
              </w:rPr>
              <w:t>10–12</w:t>
            </w:r>
          </w:p>
        </w:tc>
        <w:tc>
          <w:tcPr>
            <w:tcW w:type="dxa" w:w="3264"/>
            <w:vAlign w:val="center"/>
          </w:tcPr>
          <w:p>
            <w:r/>
            <w:r>
              <w:rPr>
                <w:b w:val="0"/>
                <w:sz w:val="16"/>
              </w:rPr>
              <w:t>AD-012, AD-017, AD-023, AD-030–031</w:t>
            </w:r>
          </w:p>
        </w:tc>
        <w:tc>
          <w:tcPr>
            <w:tcW w:type="dxa" w:w="3264"/>
            <w:vAlign w:val="center"/>
          </w:tcPr>
          <w:p>
            <w:r/>
            <w:r>
              <w:rPr>
                <w:b w:val="0"/>
                <w:sz w:val="16"/>
              </w:rPr>
              <w:t>Legal optimizer, multi-GW transfer and captain decision layers</w:t>
            </w:r>
          </w:p>
        </w:tc>
      </w:tr>
      <w:tr>
        <w:tc>
          <w:tcPr>
            <w:tcW w:type="dxa" w:w="3264"/>
            <w:vAlign w:val="center"/>
          </w:tcPr>
          <w:p>
            <w:r/>
            <w:r>
              <w:rPr>
                <w:b w:val="0"/>
                <w:sz w:val="16"/>
              </w:rPr>
              <w:t>13–16</w:t>
            </w:r>
          </w:p>
        </w:tc>
        <w:tc>
          <w:tcPr>
            <w:tcW w:type="dxa" w:w="3264"/>
            <w:vAlign w:val="center"/>
          </w:tcPr>
          <w:p>
            <w:r/>
            <w:r>
              <w:rPr>
                <w:b w:val="0"/>
                <w:sz w:val="16"/>
              </w:rPr>
              <w:t>AD-003–005, AD-011, AD-023–024, AD-030</w:t>
            </w:r>
          </w:p>
        </w:tc>
        <w:tc>
          <w:tcPr>
            <w:tcW w:type="dxa" w:w="3264"/>
            <w:vAlign w:val="center"/>
          </w:tcPr>
          <w:p>
            <w:r/>
            <w:r>
              <w:rPr>
                <w:b w:val="0"/>
                <w:sz w:val="16"/>
              </w:rPr>
              <w:t>Evaluation, horizons, chips, Dream Team and multi-GW orchestration</w:t>
            </w:r>
          </w:p>
        </w:tc>
      </w:tr>
      <w:tr>
        <w:tc>
          <w:tcPr>
            <w:tcW w:type="dxa" w:w="3264"/>
            <w:vAlign w:val="center"/>
          </w:tcPr>
          <w:p>
            <w:r/>
            <w:r>
              <w:rPr>
                <w:b w:val="0"/>
                <w:sz w:val="16"/>
              </w:rPr>
              <w:t>17</w:t>
            </w:r>
          </w:p>
        </w:tc>
        <w:tc>
          <w:tcPr>
            <w:tcW w:type="dxa" w:w="3264"/>
            <w:vAlign w:val="center"/>
          </w:tcPr>
          <w:p>
            <w:r/>
            <w:r>
              <w:rPr>
                <w:b w:val="0"/>
                <w:sz w:val="16"/>
              </w:rPr>
              <w:t>AD-034, AD-038–043 + AD-044–049</w:t>
            </w:r>
          </w:p>
        </w:tc>
        <w:tc>
          <w:tcPr>
            <w:tcW w:type="dxa" w:w="3264"/>
            <w:vAlign w:val="center"/>
          </w:tcPr>
          <w:p>
            <w:r/>
            <w:r>
              <w:rPr>
                <w:b w:val="0"/>
                <w:sz w:val="16"/>
              </w:rPr>
              <w:t>Transactional refresh reliability, audit and idempotency</w:t>
            </w:r>
          </w:p>
        </w:tc>
      </w:tr>
      <w:tr>
        <w:tc>
          <w:tcPr>
            <w:tcW w:type="dxa" w:w="3264"/>
            <w:vAlign w:val="center"/>
          </w:tcPr>
          <w:p>
            <w:r/>
            <w:r>
              <w:rPr>
                <w:b w:val="0"/>
                <w:sz w:val="16"/>
              </w:rPr>
              <w:t>18</w:t>
            </w:r>
          </w:p>
        </w:tc>
        <w:tc>
          <w:tcPr>
            <w:tcW w:type="dxa" w:w="3264"/>
            <w:vAlign w:val="center"/>
          </w:tcPr>
          <w:p>
            <w:r/>
            <w:r>
              <w:rPr>
                <w:b w:val="0"/>
                <w:sz w:val="16"/>
              </w:rPr>
              <w:t>AD-003–005, AD-011 + AD-050–055</w:t>
            </w:r>
          </w:p>
        </w:tc>
        <w:tc>
          <w:tcPr>
            <w:tcW w:type="dxa" w:w="3264"/>
            <w:vAlign w:val="center"/>
          </w:tcPr>
          <w:p>
            <w:r/>
            <w:r>
              <w:rPr>
                <w:b w:val="0"/>
                <w:sz w:val="16"/>
              </w:rPr>
              <w:t>Production projection boundary, leakage safety, strategy adapter and trust propagation</w:t>
            </w:r>
          </w:p>
        </w:tc>
      </w:tr>
    </w:tbl>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Decision Register</w:t>
      </w:r>
      <w:bookmarkEnd w:id="1001"/>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Decision</w:t>
            </w:r>
          </w:p>
        </w:tc>
        <w:tc>
          <w:tcPr>
            <w:tcW w:type="dxa" w:w="3360"/>
          </w:tcPr>
          <w:p>
            <w:r>
              <w:t>Decision / Rationale</w:t>
            </w:r>
          </w:p>
        </w:tc>
      </w:tr>
      <w:tr>
        <w:tc>
          <w:tcPr>
            <w:tcW w:type="dxa" w:w="3360"/>
          </w:tcPr>
          <w:p>
            <w:r>
              <w:t>AD-001</w:t>
            </w:r>
          </w:p>
        </w:tc>
        <w:tc>
          <w:tcPr>
            <w:tcW w:type="dxa" w:w="3360"/>
          </w:tcPr>
          <w:p>
            <w:r>
              <w:t>Historical source quality</w:t>
            </w:r>
          </w:p>
        </w:tc>
        <w:tc>
          <w:tcPr>
            <w:tcW w:type="dxa" w:w="3360"/>
          </w:tcPr>
          <w:p>
            <w:r>
              <w:t>Prefer official or closest-to-official historical sources; retain provenance and validation metadata.</w:t>
            </w:r>
          </w:p>
        </w:tc>
      </w:tr>
      <w:tr>
        <w:tc>
          <w:tcPr>
            <w:tcW w:type="dxa" w:w="3360"/>
          </w:tcPr>
          <w:p>
            <w:r>
              <w:t>AD-002</w:t>
            </w:r>
          </w:p>
        </w:tc>
        <w:tc>
          <w:tcPr>
            <w:tcW w:type="dxa" w:w="3360"/>
          </w:tcPr>
          <w:p>
            <w:r>
              <w:t>One-time historical seed + project-owned history</w:t>
            </w:r>
          </w:p>
        </w:tc>
        <w:tc>
          <w:tcPr>
            <w:tcW w:type="dxa" w:w="3360"/>
          </w:tcPr>
          <w:p>
            <w:r>
              <w:t>Seed historical data when necessary, then retain and progressively build the project's own verified history.</w:t>
            </w:r>
          </w:p>
        </w:tc>
      </w:tr>
      <w:tr>
        <w:tc>
          <w:tcPr>
            <w:tcW w:type="dxa" w:w="3360"/>
          </w:tcPr>
          <w:p>
            <w:r>
              <w:t>AD-003</w:t>
            </w:r>
          </w:p>
        </w:tc>
        <w:tc>
          <w:tcPr>
            <w:tcW w:type="dxa" w:w="3360"/>
          </w:tcPr>
          <w:p>
            <w:r>
              <w:t>Statistical first</w:t>
            </w:r>
          </w:p>
        </w:tc>
        <w:tc>
          <w:tcPr>
            <w:tcW w:type="dxa" w:w="3360"/>
          </w:tcPr>
          <w:p>
            <w:r>
              <w:t>Build and validate a transparent statistical forecasting baseline before ML.</w:t>
            </w:r>
          </w:p>
        </w:tc>
      </w:tr>
      <w:tr>
        <w:tc>
          <w:tcPr>
            <w:tcW w:type="dxa" w:w="3360"/>
          </w:tcPr>
          <w:p>
            <w:r>
              <w:t>AD-004</w:t>
            </w:r>
          </w:p>
        </w:tc>
        <w:tc>
          <w:tcPr>
            <w:tcW w:type="dxa" w:w="3360"/>
          </w:tcPr>
          <w:p>
            <w:r>
              <w:t>Walk-forward validation</w:t>
            </w:r>
          </w:p>
        </w:tc>
        <w:tc>
          <w:tcPr>
            <w:tcW w:type="dxa" w:w="3360"/>
          </w:tcPr>
          <w:p>
            <w:r>
              <w:t>All model comparisons must respect time order and exclude future information.</w:t>
            </w:r>
          </w:p>
        </w:tc>
      </w:tr>
      <w:tr>
        <w:tc>
          <w:tcPr>
            <w:tcW w:type="dxa" w:w="3360"/>
          </w:tcPr>
          <w:p>
            <w:r>
              <w:t>AD-005</w:t>
            </w:r>
          </w:p>
        </w:tc>
        <w:tc>
          <w:tcPr>
            <w:tcW w:type="dxa" w:w="3360"/>
          </w:tcPr>
          <w:p>
            <w:r>
              <w:t>Historical prior + current evidence</w:t>
            </w:r>
          </w:p>
        </w:tc>
        <w:tc>
          <w:tcPr>
            <w:tcW w:type="dxa" w:w="3360"/>
          </w:tcPr>
          <w:p>
            <w:r>
              <w:t>Use historical information as a prior updated by current-season evidence, with recency/decay and sample-size treatment.</w:t>
            </w:r>
          </w:p>
        </w:tc>
      </w:tr>
      <w:tr>
        <w:tc>
          <w:tcPr>
            <w:tcW w:type="dxa" w:w="3360"/>
          </w:tcPr>
          <w:p>
            <w:r>
              <w:t>AD-006</w:t>
            </w:r>
          </w:p>
        </w:tc>
        <w:tc>
          <w:tcPr>
            <w:tcW w:type="dxa" w:w="3360"/>
          </w:tcPr>
          <w:p>
            <w:r>
              <w:t>Opponent adjustment</w:t>
            </w:r>
          </w:p>
        </w:tc>
        <w:tc>
          <w:tcPr>
            <w:tcW w:type="dxa" w:w="3360"/>
          </w:tcPr>
          <w:p>
            <w:r>
              <w:t>Team strength must account for the strength of opponents faced.</w:t>
            </w:r>
          </w:p>
        </w:tc>
      </w:tr>
      <w:tr>
        <w:tc>
          <w:tcPr>
            <w:tcW w:type="dxa" w:w="3360"/>
          </w:tcPr>
          <w:p>
            <w:r>
              <w:t>AD-007</w:t>
            </w:r>
          </w:p>
        </w:tc>
        <w:tc>
          <w:tcPr>
            <w:tcW w:type="dxa" w:w="3360"/>
          </w:tcPr>
          <w:p>
            <w:r>
              <w:t>ML later</w:t>
            </w:r>
          </w:p>
        </w:tc>
        <w:tc>
          <w:tcPr>
            <w:tcW w:type="dxa" w:w="3360"/>
          </w:tcPr>
          <w:p>
            <w:r>
              <w:t>Ridge/XGBoost/CatBoost/MLP are future candidates, not current dependencies.</w:t>
            </w:r>
          </w:p>
        </w:tc>
      </w:tr>
      <w:tr>
        <w:tc>
          <w:tcPr>
            <w:tcW w:type="dxa" w:w="3360"/>
          </w:tcPr>
          <w:p>
            <w:r>
              <w:t>AD-008</w:t>
            </w:r>
          </w:p>
        </w:tc>
        <w:tc>
          <w:tcPr>
            <w:tcW w:type="dxa" w:w="3360"/>
          </w:tcPr>
          <w:p>
            <w:r>
              <w:t>Ensemble only if proven</w:t>
            </w:r>
          </w:p>
        </w:tc>
        <w:tc>
          <w:tcPr>
            <w:tcW w:type="dxa" w:w="3360"/>
          </w:tcPr>
          <w:p>
            <w:r>
              <w:t>Use blending only when out-of-sample validation demonstrates meaningful improvement.</w:t>
            </w:r>
          </w:p>
        </w:tc>
      </w:tr>
      <w:tr>
        <w:tc>
          <w:tcPr>
            <w:tcW w:type="dxa" w:w="3360"/>
          </w:tcPr>
          <w:p>
            <w:r>
              <w:t>AD-009</w:t>
            </w:r>
          </w:p>
        </w:tc>
        <w:tc>
          <w:tcPr>
            <w:tcW w:type="dxa" w:w="3360"/>
          </w:tcPr>
          <w:p>
            <w:r>
              <w:t>Research references</w:t>
            </w:r>
          </w:p>
        </w:tc>
        <w:tc>
          <w:tcPr>
            <w:tcW w:type="dxa" w:w="3360"/>
          </w:tcPr>
          <w:p>
            <w:r>
              <w:t>Use AIrsenal, OpenFPL, FPL Review and similar projects for design lessons; do not copy weights or performance claims without validation.</w:t>
            </w:r>
          </w:p>
        </w:tc>
      </w:tr>
      <w:tr>
        <w:tc>
          <w:tcPr>
            <w:tcW w:type="dxa" w:w="3360"/>
          </w:tcPr>
          <w:p>
            <w:r>
              <w:t>AD-010</w:t>
            </w:r>
          </w:p>
        </w:tc>
        <w:tc>
          <w:tcPr>
            <w:tcW w:type="dxa" w:w="3360"/>
          </w:tcPr>
          <w:p>
            <w:r>
              <w:t>Underlying xGC status</w:t>
            </w:r>
          </w:p>
        </w:tc>
        <w:tc>
          <w:tcPr>
            <w:tcW w:type="dxa" w:w="3360"/>
          </w:tcPr>
          <w:p>
            <w:r>
              <w:t>Retain team_data.py underlying_xgc for diagnostics, but do not use it for production defensive modelling until its aggregation methodology is validated.</w:t>
            </w:r>
          </w:p>
        </w:tc>
      </w:tr>
      <w:tr>
        <w:tc>
          <w:tcPr>
            <w:tcW w:type="dxa" w:w="3360"/>
          </w:tcPr>
          <w:p>
            <w:r>
              <w:t>AD-011</w:t>
            </w:r>
          </w:p>
        </w:tc>
        <w:tc>
          <w:tcPr>
            <w:tcW w:type="dxa" w:w="3360"/>
          </w:tcPr>
          <w:p>
            <w:r>
              <w:t>Prediction audit trail</w:t>
            </w:r>
          </w:p>
        </w:tc>
        <w:tc>
          <w:tcPr>
            <w:tcW w:type="dxa" w:w="3360"/>
          </w:tcPr>
          <w:p>
            <w:r>
              <w:t>Store predictions before fixtures, actual outcomes afterward, model version and relevant inputs.</w:t>
            </w:r>
          </w:p>
        </w:tc>
      </w:tr>
      <w:tr>
        <w:tc>
          <w:tcPr>
            <w:tcW w:type="dxa" w:w="3360"/>
          </w:tcPr>
          <w:p>
            <w:r>
              <w:t>AD-012</w:t>
            </w:r>
          </w:p>
        </w:tc>
        <w:tc>
          <w:tcPr>
            <w:tcW w:type="dxa" w:w="3360"/>
          </w:tcPr>
          <w:p>
            <w:r>
              <w:t>No automatic FPL actions in MVP</w:t>
            </w:r>
          </w:p>
        </w:tc>
        <w:tc>
          <w:tcPr>
            <w:tcW w:type="dxa" w:w="3360"/>
          </w:tcPr>
          <w:p>
            <w:r>
              <w:t>Recommendations require user execution/confirmation; authenticated private state and automatic actions remain future considerations.</w:t>
            </w:r>
          </w:p>
        </w:tc>
      </w:tr>
      <w:tr>
        <w:tc>
          <w:tcPr>
            <w:tcW w:type="dxa" w:w="3360"/>
          </w:tcPr>
          <w:p>
            <w:r>
              <w:t>AD-013</w:t>
            </w:r>
          </w:p>
        </w:tc>
        <w:tc>
          <w:tcPr>
            <w:tcW w:type="dxa" w:w="3360"/>
          </w:tcPr>
          <w:p>
            <w:r>
              <w:t>FPL-authoritative historical truth</w:t>
            </w:r>
          </w:p>
        </w:tc>
        <w:tc>
          <w:tcPr>
            <w:tcW w:type="dxa" w:w="3360"/>
          </w:tcPr>
          <w:p>
            <w:r>
              <w:t>Core historical player/team data remains FPL-authoritative. Do not silently fill missing FPL fields with third-party estimates; missing authoritative fields remain NULL.</w:t>
            </w:r>
          </w:p>
        </w:tc>
      </w:tr>
      <w:tr>
        <w:tc>
          <w:tcPr>
            <w:tcW w:type="dxa" w:w="3360"/>
          </w:tcPr>
          <w:p>
            <w:r>
              <w:t>AD-014</w:t>
            </w:r>
          </w:p>
        </w:tc>
        <w:tc>
          <w:tcPr>
            <w:tcW w:type="dxa" w:w="3360"/>
          </w:tcPr>
          <w:p>
            <w:r>
              <w:t>Secondary sources deferred from core truth</w:t>
            </w:r>
          </w:p>
        </w:tc>
        <w:tc>
          <w:tcPr>
            <w:tcW w:type="dxa" w:w="3360"/>
          </w:tcPr>
          <w:p>
            <w:r>
              <w:t>Understat and other external underlying-data sources may be evaluated later as separate modelling features, only after leakage-safe walk-forward testing demonstrates value.</w:t>
            </w:r>
          </w:p>
        </w:tc>
      </w:tr>
      <w:tr>
        <w:tc>
          <w:tcPr>
            <w:tcW w:type="dxa" w:w="3360"/>
          </w:tcPr>
          <w:p>
            <w:r>
              <w:t>AD-015</w:t>
            </w:r>
          </w:p>
        </w:tc>
        <w:tc>
          <w:tcPr>
            <w:tcW w:type="dxa" w:w="3360"/>
          </w:tcPr>
          <w:p>
            <w:r>
              <w:t>Historical player canonical grain</w:t>
            </w:r>
          </w:p>
        </w:tc>
        <w:tc>
          <w:tcPr>
            <w:tcW w:type="dxa" w:w="3360"/>
          </w:tcPr>
          <w:p>
            <w:r>
              <w:t>Use one record per season + player + fixture. Collapse exact duplicates only after validation; conflicting duplicates fail.</w:t>
            </w:r>
          </w:p>
        </w:tc>
      </w:tr>
      <w:tr>
        <w:tc>
          <w:tcPr>
            <w:tcW w:type="dxa" w:w="3360"/>
          </w:tcPr>
          <w:p>
            <w:r>
              <w:t>AD-016</w:t>
            </w:r>
          </w:p>
        </w:tc>
        <w:tc>
          <w:tcPr>
            <w:tcW w:type="dxa" w:w="3360"/>
          </w:tcPr>
          <w:p>
            <w:r>
              <w:t>Historical player ingestion checkpoint</w:t>
            </w:r>
          </w:p>
        </w:tc>
        <w:tc>
          <w:tcPr>
            <w:tcW w:type="dxa" w:w="3360"/>
          </w:tcPr>
          <w:p>
            <w:r>
              <w:t>Accept the validated six-season player layer: 2020/21–2025/26, 163,394 canonical records, provenance retained and known exact duplicates handled.</w:t>
            </w:r>
          </w:p>
        </w:tc>
      </w:tr>
      <w:tr>
        <w:tc>
          <w:tcPr>
            <w:tcW w:type="dxa" w:w="3360"/>
          </w:tcPr>
          <w:p>
            <w:r>
              <w:t>AD-017</w:t>
            </w:r>
          </w:p>
        </w:tc>
        <w:tc>
          <w:tcPr>
            <w:tcW w:type="dxa" w:w="3360"/>
          </w:tcPr>
          <w:p>
            <w:r>
              <w:t>One universal optimizer per FPL team</w:t>
            </w:r>
          </w:p>
        </w:tc>
        <w:tc>
          <w:tcPr>
            <w:tcW w:type="dxa" w:w="3360"/>
          </w:tcPr>
          <w:p>
            <w:r>
              <w:t>Do not optimize the same FPL team independently for different mini-leagues. Leagues are contextual inputs; the action must remain one team-level decision.</w:t>
            </w:r>
          </w:p>
        </w:tc>
      </w:tr>
      <w:tr>
        <w:tc>
          <w:tcPr>
            <w:tcW w:type="dxa" w:w="3360"/>
          </w:tcPr>
          <w:p>
            <w:r>
              <w:t>AD-018</w:t>
            </w:r>
          </w:p>
        </w:tc>
        <w:tc>
          <w:tcPr>
            <w:tcW w:type="dxa" w:w="3360"/>
          </w:tcPr>
          <w:p>
            <w:r>
              <w:t>Flexible league/prize model</w:t>
            </w:r>
          </w:p>
        </w:tc>
        <w:tc>
          <w:tcPr>
            <w:tcW w:type="dxa" w:w="3360"/>
          </w:tcPr>
          <w:p>
            <w:r>
              <w:t>League membership, standings and payout structures are data/configuration, not hard-coded strategy assumptions.</w:t>
            </w:r>
          </w:p>
        </w:tc>
      </w:tr>
      <w:tr>
        <w:tc>
          <w:tcPr>
            <w:tcW w:type="dxa" w:w="3360"/>
          </w:tcPr>
          <w:p>
            <w:r>
              <w:t>AD-019</w:t>
            </w:r>
          </w:p>
        </w:tc>
        <w:tc>
          <w:tcPr>
            <w:tcW w:type="dxa" w:w="3360"/>
          </w:tcPr>
          <w:p>
            <w:r>
              <w:t>Persistent conversation/session model</w:t>
            </w:r>
          </w:p>
        </w:tc>
        <w:tc>
          <w:tcPr>
            <w:tcW w:type="dxa" w:w="3360"/>
          </w:tcPr>
          <w:p>
            <w:r>
              <w:t>Support multiple named persistent conversations per user while keeping structured strategic memory separate from raw chat history.</w:t>
            </w:r>
          </w:p>
        </w:tc>
      </w:tr>
      <w:tr>
        <w:tc>
          <w:tcPr>
            <w:tcW w:type="dxa" w:w="3360"/>
          </w:tcPr>
          <w:p>
            <w:r>
              <w:t>AD-020</w:t>
            </w:r>
          </w:p>
        </w:tc>
        <w:tc>
          <w:tcPr>
            <w:tcW w:type="dxa" w:w="3360"/>
          </w:tcPr>
          <w:p>
            <w:r>
              <w:t>Proactive operating cadence</w:t>
            </w:r>
          </w:p>
        </w:tc>
        <w:tc>
          <w:tcPr>
            <w:tcW w:type="dxa" w:w="3360"/>
          </w:tcPr>
          <w:p>
            <w:r>
              <w:t>Target approximately three strategic analyses per GW: post-GW, midweek and pre-deadline.</w:t>
            </w:r>
          </w:p>
        </w:tc>
      </w:tr>
      <w:tr>
        <w:tc>
          <w:tcPr>
            <w:tcW w:type="dxa" w:w="3360"/>
          </w:tcPr>
          <w:p>
            <w:r>
              <w:t>AD-021</w:t>
            </w:r>
          </w:p>
        </w:tc>
        <w:tc>
          <w:tcPr>
            <w:tcW w:type="dxa" w:w="3360"/>
          </w:tcPr>
          <w:p>
            <w:r>
              <w:t>Authoritative state re-verification</w:t>
            </w:r>
          </w:p>
        </w:tc>
        <w:tc>
          <w:tcPr>
            <w:tcW w:type="dxa" w:w="3360"/>
          </w:tcPr>
          <w:p>
            <w:r>
              <w:t>When the user reports a transfer/action, refresh authoritative FPL state before subsequent strategy decisions; do not trust chat memory as state.</w:t>
            </w:r>
          </w:p>
        </w:tc>
      </w:tr>
      <w:tr>
        <w:tc>
          <w:tcPr>
            <w:tcW w:type="dxa" w:w="3360"/>
          </w:tcPr>
          <w:p>
            <w:r>
              <w:t>AD-022</w:t>
            </w:r>
          </w:p>
        </w:tc>
        <w:tc>
          <w:tcPr>
            <w:tcW w:type="dxa" w:w="3360"/>
          </w:tcPr>
          <w:p>
            <w:r>
              <w:t>NO DATA = NO ANSWER</w:t>
            </w:r>
          </w:p>
        </w:tc>
        <w:tc>
          <w:tcPr>
            <w:tcW w:type="dxa" w:w="3360"/>
          </w:tcPr>
          <w:p>
            <w:r>
              <w:t>Decision-critical missing/unverified data must be surfaced and excluded from unsupported recommendations.</w:t>
            </w:r>
          </w:p>
        </w:tc>
      </w:tr>
      <w:tr>
        <w:tc>
          <w:tcPr>
            <w:tcW w:type="dxa" w:w="3360"/>
          </w:tcPr>
          <w:p>
            <w:r>
              <w:t>AD-023</w:t>
            </w:r>
          </w:p>
        </w:tc>
        <w:tc>
          <w:tcPr>
            <w:tcW w:type="dxa" w:w="3360"/>
          </w:tcPr>
          <w:p>
            <w:r>
              <w:t>Risk-adjusted upside</w:t>
            </w:r>
          </w:p>
        </w:tc>
        <w:tc>
          <w:tcPr>
            <w:tcW w:type="dxa" w:w="3360"/>
          </w:tcPr>
          <w:p>
            <w:r>
              <w:t>Use controlled differentials and ceiling/upside where justified; do not automatically chase weekly prizes with reckless risk.</w:t>
            </w:r>
          </w:p>
        </w:tc>
      </w:tr>
      <w:tr>
        <w:tc>
          <w:tcPr>
            <w:tcW w:type="dxa" w:w="3360"/>
          </w:tcPr>
          <w:p>
            <w:r>
              <w:t>AD-024</w:t>
            </w:r>
          </w:p>
        </w:tc>
        <w:tc>
          <w:tcPr>
            <w:tcW w:type="dxa" w:w="3360"/>
          </w:tcPr>
          <w:p>
            <w:r>
              <w:t>Dream Team is evaluation-only hindsight</w:t>
            </w:r>
          </w:p>
        </w:tc>
        <w:tc>
          <w:tcPr>
            <w:tcW w:type="dxa" w:w="3360"/>
          </w:tcPr>
          <w:p>
            <w:r>
              <w:t>Dream Team data may be used after a GW to evaluate misses/execution, but not as a same-GW prediction input.</w:t>
            </w:r>
          </w:p>
        </w:tc>
      </w:tr>
      <w:tr>
        <w:tc>
          <w:tcPr>
            <w:tcW w:type="dxa" w:w="3360"/>
          </w:tcPr>
          <w:p>
            <w:r>
              <w:t>AD-025</w:t>
            </w:r>
          </w:p>
        </w:tc>
        <w:tc>
          <w:tcPr>
            <w:tcW w:type="dxa" w:w="3360"/>
          </w:tcPr>
          <w:p>
            <w:r>
              <w:t>Cloud-first and ₹0 target</w:t>
            </w:r>
          </w:p>
        </w:tc>
        <w:tc>
          <w:tcPr>
            <w:tcW w:type="dxa" w:w="3360"/>
          </w:tcPr>
          <w:p>
            <w:r>
              <w:t>Design for mobile/web access, persistent cloud state and zero additional operating cost using free/public infrastructure where practical.</w:t>
            </w:r>
          </w:p>
        </w:tc>
      </w:tr>
      <w:tr>
        <w:tc>
          <w:tcPr>
            <w:tcW w:type="dxa" w:w="3360"/>
          </w:tcPr>
          <w:p>
            <w:r>
              <w:t>AD-026</w:t>
            </w:r>
          </w:p>
        </w:tc>
        <w:tc>
          <w:tcPr>
            <w:tcW w:type="dxa" w:w="3360"/>
          </w:tcPr>
          <w:p>
            <w:r>
              <w:t>Shared global data / isolated user state</w:t>
            </w:r>
          </w:p>
        </w:tc>
        <w:tc>
          <w:tcPr>
            <w:tcW w:type="dxa" w:w="3360"/>
          </w:tcPr>
          <w:p>
            <w:r>
              <w:t>Global FPL data should be shared across users while manager state, memory and conversations remain strictly isolated.</w:t>
            </w:r>
          </w:p>
        </w:tc>
      </w:tr>
      <w:tr>
        <w:tc>
          <w:tcPr>
            <w:tcW w:type="dxa" w:w="3360"/>
          </w:tcPr>
          <w:p>
            <w:r>
              <w:t>AD-027</w:t>
            </w:r>
          </w:p>
        </w:tc>
        <w:tc>
          <w:tcPr>
            <w:tcW w:type="dxa" w:w="3360"/>
          </w:tcPr>
          <w:p>
            <w:r>
              <w:t>Interface-independent core</w:t>
            </w:r>
          </w:p>
        </w:tc>
        <w:tc>
          <w:tcPr>
            <w:tcW w:type="dxa" w:w="3360"/>
          </w:tcPr>
          <w:p>
            <w:r>
              <w:t>Streamlit may remain a UI vehicle, but core truth/model/strategy modules must remain independent of app.py.</w:t>
            </w:r>
          </w:p>
        </w:tc>
      </w:tr>
      <w:tr>
        <w:tc>
          <w:tcPr>
            <w:tcW w:type="dxa" w:w="3360"/>
          </w:tcPr>
          <w:p>
            <w:r>
              <w:t>AD-028</w:t>
            </w:r>
          </w:p>
        </w:tc>
        <w:tc>
          <w:tcPr>
            <w:tcW w:type="dxa" w:w="3360"/>
          </w:tcPr>
          <w:p>
            <w:r>
              <w:t>Modular beginner-friendly workflow</w:t>
            </w:r>
          </w:p>
        </w:tc>
        <w:tc>
          <w:tcPr>
            <w:tcW w:type="dxa" w:w="3360"/>
          </w:tcPr>
          <w:p>
            <w:r>
              <w:t>Use complete file replacements, comments, small testable steps and local-test-before-commit workflow.</w:t>
            </w:r>
          </w:p>
        </w:tc>
      </w:tr>
      <w:tr>
        <w:tc>
          <w:tcPr>
            <w:tcW w:type="dxa" w:w="3360"/>
          </w:tcPr>
          <w:p>
            <w:r>
              <w:t>AD-029</w:t>
            </w:r>
          </w:p>
        </w:tc>
        <w:tc>
          <w:tcPr>
            <w:tcW w:type="dxa" w:w="3360"/>
          </w:tcPr>
          <w:p>
            <w:r>
              <w:t>Historical six-season walk-forward windows</w:t>
            </w:r>
          </w:p>
        </w:tc>
        <w:tc>
          <w:tcPr>
            <w:tcW w:type="dxa" w:w="3360"/>
          </w:tcPr>
          <w:p>
            <w:r>
              <w:t>Use 2020/21–2025/26 with expanding training windows and each following season as an out-of-sample test.</w:t>
            </w:r>
          </w:p>
        </w:tc>
      </w:tr>
      <w:tr>
        <w:tc>
          <w:tcPr>
            <w:tcW w:type="dxa" w:w="3360"/>
          </w:tcPr>
          <w:p>
            <w:r>
              <w:t>AD-030</w:t>
            </w:r>
          </w:p>
        </w:tc>
        <w:tc>
          <w:tcPr>
            <w:tcW w:type="dxa" w:w="3360"/>
          </w:tcPr>
          <w:p>
            <w:r>
              <w:t>Fixture-model roadmap ordering</w:t>
            </w:r>
          </w:p>
        </w:tc>
        <w:tc>
          <w:tcPr>
            <w:tcW w:type="dxa" w:w="3360"/>
          </w:tcPr>
          <w:p>
            <w:r>
              <w:t>After historical team/player and team-strength completion, proceed to internal fixture model → official FDR benchmark → prediction snapshots → expected-goals foundation → expected-points → strategy engines → evaluation/learning.</w:t>
            </w:r>
          </w:p>
        </w:tc>
      </w:tr>
      <w:tr>
        <w:tc>
          <w:tcPr>
            <w:tcW w:type="dxa" w:w="3360"/>
          </w:tcPr>
          <w:p>
            <w:r>
              <w:t>AD-031</w:t>
            </w:r>
          </w:p>
        </w:tc>
        <w:tc>
          <w:tcPr>
            <w:tcW w:type="dxa" w:w="3360"/>
          </w:tcPr>
          <w:p>
            <w:r>
              <w:t>Transparent baseline expected-goals model</w:t>
            </w:r>
          </w:p>
        </w:tc>
        <w:tc>
          <w:tcPr>
            <w:tcW w:type="dxa" w:w="3360"/>
          </w:tcPr>
          <w:p>
            <w:r>
              <w:t>Build expected goals as a separate, transparent statistical layer. Start with normalized home/away attack and defensive components and sample-size shrinkage; do not introduce arbitrary fixed weights. Calibrate parameters using expanding walk-forward training seasons and evaluate on the following untouched season. Validate recent form and additional features incrementally. Keep team strength, match expectations, player expected points and strategy as separate layers.</w:t>
            </w:r>
          </w:p>
        </w:tc>
      </w:tr>
      <w:tr>
        <w:tc>
          <w:tcPr>
            <w:tcW w:type="dxa" w:w="3360"/>
          </w:tcPr>
          <w:p>
            <w:r>
              <w:t>AD-032</w:t>
            </w:r>
          </w:p>
        </w:tc>
        <w:tc>
          <w:tcPr>
            <w:tcW w:type="dxa" w:w="3360"/>
          </w:tcPr>
          <w:p>
            <w:r>
              <w:t>Separate Historical Prior Layer from Current-Season Point-in-Time State</w:t>
            </w:r>
          </w:p>
        </w:tc>
        <w:tc>
          <w:tcPr>
            <w:tcW w:type="dxa" w:w="3360"/>
          </w:tcPr>
          <w:p>
            <w:r>
              <w:t>Keep the prediction-time team state strictly season-scoped and cutoff-based. Do not concatenate prior seasons into current-season cumulative or recent-five state. Expose historical context through a separate prior layer so recency/decay, sample-size treatment, promoted/relegated handling and no-history behaviour can be explicitly designed and validated. Do not feed historical priors into the baseline expected-goals model until leakage-safe walk-forward evaluation demonstrates incremental value.</w:t>
            </w:r>
          </w:p>
        </w:tc>
      </w:tr>
      <w:tr>
        <w:tc>
          <w:tcPr>
            <w:tcW w:type="dxa" w:w="3360"/>
          </w:tcPr>
          <w:p>
            <w:r>
              <w:t>AD-033</w:t>
            </w:r>
          </w:p>
        </w:tc>
        <w:tc>
          <w:tcPr>
            <w:tcW w:type="dxa" w:w="3360"/>
          </w:tcPr>
          <w:p>
            <w:r>
              <w:t>Historical Prior Layer methodology</w:t>
            </w:r>
          </w:p>
        </w:tc>
        <w:tc>
          <w:tcPr>
            <w:tcW w:type="dxa" w:w="3360"/>
          </w:tcPr>
          <w:p>
            <w:r>
              <w:t>Keep historical priors separate from current-season point-in-time state. V1 uses up to three completed Premier League seasons with transparent 60%/30%/10% recency weights; current recent_5 remains current-season-only; promoted teams without usable PL history receive no fabricated prior; missing priors remain explicit; sample size and season coverage are retained; no separate historical shrinkage parameter is tuned in V1; walk-forward priors use only seasons completed before the test season; historical-prior integration into the baseline expected-goals model is deferred until leakage-safe validation demonstrates incremental value.</w:t>
            </w:r>
          </w:p>
        </w:tc>
      </w:tr>
      <w:tr>
        <w:tc>
          <w:tcPr>
            <w:tcW w:type="dxa" w:w="3360"/>
          </w:tcPr>
          <w:p>
            <w:r>
              <w:t>AD-034</w:t>
            </w:r>
          </w:p>
        </w:tc>
        <w:tc>
          <w:tcPr>
            <w:tcW w:type="dxa" w:w="3360"/>
          </w:tcPr>
          <w:p>
            <w:r>
              <w:t>SQLite-first persistence behind abstraction</w:t>
            </w:r>
          </w:p>
        </w:tc>
        <w:tc>
          <w:tcPr>
            <w:tcW w:type="dxa" w:w="3360"/>
          </w:tcPr>
          <w:p>
            <w:r>
              <w:t>Use SQLite as the first durable backend while keeping strategy/business logic independent through a repository/data-store interface. JSON remains a prototype/test backend; future cloud storage can implement the same contract.</w:t>
            </w:r>
          </w:p>
        </w:tc>
      </w:tr>
      <w:tr>
        <w:tc>
          <w:tcPr>
            <w:tcW w:type="dxa" w:w="3360"/>
          </w:tcPr>
          <w:p>
            <w:r>
              <w:t>AD-035</w:t>
            </w:r>
          </w:p>
        </w:tc>
        <w:tc>
          <w:tcPr>
            <w:tcW w:type="dxa" w:w="3360"/>
          </w:tcPr>
          <w:p>
            <w:r>
              <w:t>Domain model, not code-file mirroring</w:t>
            </w:r>
          </w:p>
        </w:tc>
        <w:tc>
          <w:tcPr>
            <w:tcW w:type="dxa" w:w="3360"/>
          </w:tcPr>
          <w:p>
            <w:r>
              <w:t>Database tables represent business/data domains and grains, not Python module names. Separate ingestion modules may write to related domain tables.</w:t>
            </w:r>
          </w:p>
        </w:tc>
      </w:tr>
      <w:tr>
        <w:tc>
          <w:tcPr>
            <w:tcW w:type="dxa" w:w="3360"/>
          </w:tcPr>
          <w:p>
            <w:r>
              <w:t>AD-036</w:t>
            </w:r>
          </w:p>
        </w:tc>
        <w:tc>
          <w:tcPr>
            <w:tcW w:type="dxa" w:w="3360"/>
          </w:tcPr>
          <w:p>
            <w:r>
              <w:t>Current versus historical schema separation</w:t>
            </w:r>
          </w:p>
        </w:tc>
        <w:tc>
          <w:tcPr>
            <w:tcW w:type="dxa" w:w="3360"/>
          </w:tcPr>
          <w:p>
            <w:r>
              <w:t>Current-season point-in-time state and validated historical canonical truth are separate persistence layers and may intentionally use different schemas.</w:t>
            </w:r>
          </w:p>
        </w:tc>
      </w:tr>
      <w:tr>
        <w:tc>
          <w:tcPr>
            <w:tcW w:type="dxa" w:w="3360"/>
          </w:tcPr>
          <w:p>
            <w:r>
              <w:t>AD-037</w:t>
            </w:r>
          </w:p>
        </w:tc>
        <w:tc>
          <w:tcPr>
            <w:tcW w:type="dxa" w:w="3360"/>
          </w:tcPr>
          <w:p>
            <w:r>
              <w:t>Canonical grain is a database invariant</w:t>
            </w:r>
          </w:p>
        </w:tc>
        <w:tc>
          <w:tcPr>
            <w:tcW w:type="dxa" w:w="3360"/>
          </w:tcPr>
          <w:p>
            <w:r>
              <w:t>Persisted entities must have explicit grains and business uniqueness constraints. Player-fixture facts use season + player + fixture; manager state uses manager + season + GW; predictions include model version.</w:t>
            </w:r>
          </w:p>
        </w:tc>
      </w:tr>
      <w:tr>
        <w:tc>
          <w:tcPr>
            <w:tcW w:type="dxa" w:w="3360"/>
          </w:tcPr>
          <w:p>
            <w:r>
              <w:t>AD-038</w:t>
            </w:r>
          </w:p>
        </w:tc>
        <w:tc>
          <w:tcPr>
            <w:tcW w:type="dxa" w:w="3360"/>
          </w:tcPr>
          <w:p>
            <w:r>
              <w:t>Ingestion runs versus freshness</w:t>
            </w:r>
          </w:p>
        </w:tc>
        <w:tc>
          <w:tcPr>
            <w:tcW w:type="dxa" w:w="3360"/>
          </w:tcPr>
          <w:p>
            <w:r>
              <w:t>ingestion_runs is the authoritative source retrieval/execution record; dataset_freshness is the resulting dataset usability state. They are separate concerns and must not be duplicated.</w:t>
            </w:r>
          </w:p>
        </w:tc>
      </w:tr>
      <w:tr>
        <w:tc>
          <w:tcPr>
            <w:tcW w:type="dxa" w:w="3360"/>
          </w:tcPr>
          <w:p>
            <w:r>
              <w:t>AD-039</w:t>
            </w:r>
          </w:p>
        </w:tc>
        <w:tc>
          <w:tcPr>
            <w:tcW w:type="dxa" w:w="3360"/>
          </w:tcPr>
          <w:p>
            <w:r>
              <w:t>Explicit data lineage</w:t>
            </w:r>
          </w:p>
        </w:tc>
        <w:tc>
          <w:tcPr>
            <w:tcW w:type="dxa" w:w="3360"/>
          </w:tcPr>
          <w:p>
            <w:r>
              <w:t>data_lineage stores versioned source-to-target field mappings and transformations so outputs can be traced back to original sources and fields.</w:t>
            </w:r>
          </w:p>
        </w:tc>
      </w:tr>
      <w:tr>
        <w:tc>
          <w:tcPr>
            <w:tcW w:type="dxa" w:w="3360"/>
          </w:tcPr>
          <w:p>
            <w:r>
              <w:t>AD-040</w:t>
            </w:r>
          </w:p>
        </w:tc>
        <w:tc>
          <w:tcPr>
            <w:tcW w:type="dxa" w:w="3360"/>
          </w:tcPr>
          <w:p>
            <w:r>
              <w:t>Persist only purposeful fields</w:t>
            </w:r>
          </w:p>
        </w:tc>
        <w:tc>
          <w:tcPr>
            <w:tcW w:type="dxa" w:w="3360"/>
          </w:tcPr>
          <w:p>
            <w:r>
              <w:t>Persist fields required by current modules, explicit future modelling/audit needs or auditability. Do not create dedicated columns merely because an external source exposes a field.</w:t>
            </w:r>
          </w:p>
        </w:tc>
      </w:tr>
      <w:tr>
        <w:tc>
          <w:tcPr>
            <w:tcW w:type="dxa" w:w="3360"/>
          </w:tcPr>
          <w:p>
            <w:r>
              <w:t>AD-041</w:t>
            </w:r>
          </w:p>
        </w:tc>
        <w:tc>
          <w:tcPr>
            <w:tcW w:type="dxa" w:w="3360"/>
          </w:tcPr>
          <w:p>
            <w:r>
              <w:t>Historical promotion without new external integration</w:t>
            </w:r>
          </w:p>
        </w:tc>
        <w:tc>
          <w:tcPr>
            <w:tcW w:type="dxa" w:w="3360"/>
          </w:tcPr>
          <w:p>
            <w:r>
              <w:t>At season completion, convert validated current-season data to the canonical historical schema using explicit mappings and lineage; do not require a new one-off external historical integration.</w:t>
            </w:r>
          </w:p>
        </w:tc>
      </w:tr>
      <w:tr>
        <w:tc>
          <w:tcPr>
            <w:tcW w:type="dxa" w:w="3360"/>
          </w:tcPr>
          <w:p>
            <w:r>
              <w:t>AD-042</w:t>
            </w:r>
          </w:p>
        </w:tc>
        <w:tc>
          <w:tcPr>
            <w:tcW w:type="dxa" w:w="3360"/>
          </w:tcPr>
          <w:p>
            <w:r>
              <w:t>Freeze validated historical truth</w:t>
            </w:r>
          </w:p>
        </w:tc>
        <w:tc>
          <w:tcPr>
            <w:tcW w:type="dxa" w:w="3360"/>
          </w:tcPr>
          <w:p>
            <w:r>
              <w:t>Once a completed season passes validation and promotion, the historical dataset becomes immutable except through a controlled correction/versioning process.</w:t>
            </w:r>
          </w:p>
        </w:tc>
      </w:tr>
      <w:tr>
        <w:tc>
          <w:tcPr>
            <w:tcW w:type="dxa" w:w="3360"/>
          </w:tcPr>
          <w:p>
            <w:r>
              <w:t>AD-043</w:t>
            </w:r>
          </w:p>
        </w:tc>
        <w:tc>
          <w:tcPr>
            <w:tcW w:type="dxa" w:w="3360"/>
          </w:tcPr>
          <w:p>
            <w:r>
              <w:t>Documentation as controlled project artefact</w:t>
            </w:r>
          </w:p>
        </w:tc>
        <w:tc>
          <w:tcPr>
            <w:tcW w:type="dxa" w:w="3360"/>
          </w:tcPr>
          <w:p>
            <w:r>
              <w:t>The BRD, Functional Specification, Technical Specification and Architecture Decision Log are a coordinated living documentation set and should be stored in GitHub with the implementation.</w:t>
            </w:r>
          </w:p>
        </w:tc>
      </w:tr>
      <w:tr>
        <w:tc>
          <w:tcPr>
            <w:tcW w:type="dxa" w:w="3360"/>
          </w:tcPr>
          <w:p>
            <w:r>
              <w:t>AD-CP18-01</w:t>
            </w:r>
          </w:p>
        </w:tc>
        <w:tc>
          <w:tcPr>
            <w:tcW w:type="dxa" w:w="3360"/>
          </w:tcPr>
          <w:p>
            <w:r>
              <w:t>Production projection as the authoritative strategy input</w:t>
            </w:r>
          </w:p>
        </w:tc>
        <w:tc>
          <w:tcPr>
            <w:tcW w:type="dxa" w:w="3360"/>
          </w:tcPr>
          <w:p>
            <w:r>
              <w:t>The production projection pipeline is the explicit bridge from point-in-time team/fixture modelling to multi-GW player projections consumed by strategy.</w:t>
            </w:r>
          </w:p>
        </w:tc>
      </w:tr>
      <w:tr>
        <w:tc>
          <w:tcPr>
            <w:tcW w:type="dxa" w:w="3360"/>
          </w:tcPr>
          <w:p>
            <w:r>
              <w:t>AD-CP18-02</w:t>
            </w:r>
          </w:p>
        </w:tc>
        <w:tc>
          <w:tcPr>
            <w:tcW w:type="dxa" w:w="3360"/>
          </w:tcPr>
          <w:p>
            <w:r>
              <w:t>Explicit target/horizon and leakage contract</w:t>
            </w:r>
          </w:p>
        </w:tc>
        <w:tc>
          <w:tcPr>
            <w:tcW w:type="dxa" w:w="3360"/>
          </w:tcPr>
          <w:p>
            <w:r>
              <w:t>Production projections use only completed fixtures before the target Gameweek for team state and only uncompleted fixtures within the requested horizon as forecast inputs.</w:t>
            </w:r>
          </w:p>
        </w:tc>
      </w:tr>
      <w:tr>
        <w:tc>
          <w:tcPr>
            <w:tcW w:type="dxa" w:w="3360"/>
          </w:tcPr>
          <w:p>
            <w:r>
              <w:t>AD-CP18-03</w:t>
            </w:r>
          </w:p>
        </w:tc>
        <w:tc>
          <w:tcPr>
            <w:tcW w:type="dxa" w:w="3360"/>
          </w:tcPr>
          <w:p>
            <w:r>
              <w:t>ProductionProjectionResult at the orchestrator boundary</w:t>
            </w:r>
          </w:p>
        </w:tc>
        <w:tc>
          <w:tcPr>
            <w:tcW w:type="dxa" w:w="3360"/>
          </w:tcPr>
          <w:p>
            <w:r>
              <w:t>The strategy orchestrator validates and consumes a typed projection result, preserving backward compatibility while making the production contract explicit.</w:t>
            </w:r>
          </w:p>
        </w:tc>
      </w:tr>
      <w:tr>
        <w:tc>
          <w:tcPr>
            <w:tcW w:type="dxa" w:w="3360"/>
          </w:tcPr>
          <w:p>
            <w:r>
              <w:t>AD-CP18-04</w:t>
            </w:r>
          </w:p>
        </w:tc>
        <w:tc>
          <w:tcPr>
            <w:tcW w:type="dxa" w:w="3360"/>
          </w:tcPr>
          <w:p>
            <w:r>
              <w:t>Projection completeness and warnings propagate</w:t>
            </w:r>
          </w:p>
        </w:tc>
        <w:tc>
          <w:tcPr>
            <w:tcW w:type="dxa" w:w="3360"/>
          </w:tcPr>
          <w:p>
            <w:r>
              <w:t>Incomplete projection data must remain visible in the final decision; missing decision-critical state must not be silently fabricated.</w:t>
            </w:r>
          </w:p>
        </w:tc>
      </w:tr>
      <w:tr>
        <w:tc>
          <w:tcPr>
            <w:tcW w:type="dxa" w:w="3360"/>
          </w:tcPr>
          <w:p>
            <w:r>
              <w:t>AD-CP18-05</w:t>
            </w:r>
          </w:p>
        </w:tc>
        <w:tc>
          <w:tcPr>
            <w:tcW w:type="dxa" w:w="3360"/>
          </w:tcPr>
          <w:p>
            <w:r>
              <w:t>Runtime projection is not a new persistence entity</w:t>
            </w:r>
          </w:p>
        </w:tc>
        <w:tc>
          <w:tcPr>
            <w:tcW w:type="dxa" w:w="3360"/>
          </w:tcPr>
          <w:p>
            <w:r>
              <w:t>The projection result is a derived runtime contract. Persistent prediction snapshots and decision audits remain governed by the approved relational data model.</w:t>
            </w:r>
          </w:p>
        </w:tc>
      </w:tr>
      <w:tr>
        <w:tc>
          <w:tcPr>
            <w:tcW w:type="dxa" w:w="3360"/>
          </w:tcPr>
          <w:p>
            <w:r>
              <w:t>AD-CP17-01</w:t>
            </w:r>
          </w:p>
        </w:tc>
        <w:tc>
          <w:tcPr>
            <w:tcW w:type="dxa" w:w="3360"/>
          </w:tcPr>
          <w:p>
            <w:r>
              <w:t>Atomic canonical refresh</w:t>
            </w:r>
          </w:p>
        </w:tc>
        <w:tc>
          <w:tcPr>
            <w:tcW w:type="dxa" w:w="3360"/>
          </w:tcPr>
          <w:p>
            <w:r>
              <w:t>Canonical refresh writes must execute inside one repository transaction so a failed refresh cannot leave a partially refreshed truth layer.</w:t>
            </w:r>
          </w:p>
        </w:tc>
      </w:tr>
      <w:tr>
        <w:tc>
          <w:tcPr>
            <w:tcW w:type="dxa" w:w="3360"/>
          </w:tcPr>
          <w:p>
            <w:r>
              <w:t>AD-CP17-02</w:t>
            </w:r>
          </w:p>
        </w:tc>
        <w:tc>
          <w:tcPr>
            <w:tcW w:type="dxa" w:w="3360"/>
          </w:tcPr>
          <w:p>
            <w:r>
              <w:t>Durable ingestion audit outside canonical transaction</w:t>
            </w:r>
          </w:p>
        </w:tc>
        <w:tc>
          <w:tcPr>
            <w:tcW w:type="dxa" w:w="3360"/>
          </w:tcPr>
          <w:p>
            <w:r>
              <w:t>Create the ingestion execution record outside the canonical data transaction so failures remain auditable even when data writes roll back.</w:t>
            </w:r>
          </w:p>
        </w:tc>
      </w:tr>
      <w:tr>
        <w:tc>
          <w:tcPr>
            <w:tcW w:type="dxa" w:w="3360"/>
          </w:tcPr>
          <w:p>
            <w:r>
              <w:t>AD-CP17-03</w:t>
            </w:r>
          </w:p>
        </w:tc>
        <w:tc>
          <w:tcPr>
            <w:tcW w:type="dxa" w:w="3360"/>
          </w:tcPr>
          <w:p>
            <w:r>
              <w:t>Failed refresh preserves prior successful state</w:t>
            </w:r>
          </w:p>
        </w:tc>
        <w:tc>
          <w:tcPr>
            <w:tcW w:type="dxa" w:w="3360"/>
          </w:tcPr>
          <w:p>
            <w:r>
              <w:t>A failed refresh after success must preserve prior canonical data, record the failed attempt and mark freshness STALE rather than presenting the old success as current.</w:t>
            </w:r>
          </w:p>
        </w:tc>
      </w:tr>
      <w:tr>
        <w:tc>
          <w:tcPr>
            <w:tcW w:type="dxa" w:w="3360"/>
          </w:tcPr>
          <w:p>
            <w:r>
              <w:t>AD-CP17-04</w:t>
            </w:r>
          </w:p>
        </w:tc>
        <w:tc>
          <w:tcPr>
            <w:tcW w:type="dxa" w:w="3360"/>
          </w:tcPr>
          <w:p>
            <w:r>
              <w:t>Refresh idempotency</w:t>
            </w:r>
          </w:p>
        </w:tc>
        <w:tc>
          <w:tcPr>
            <w:tcW w:type="dxa" w:w="3360"/>
          </w:tcPr>
          <w:p>
            <w:r>
              <w:t>Repeated identical source refreshes must not create duplicate current/master records; snapshot observations remain append-style.</w:t>
            </w:r>
          </w:p>
        </w:tc>
      </w:tr>
      <w:tr>
        <w:tc>
          <w:tcPr>
            <w:tcW w:type="dxa" w:w="3360"/>
          </w:tcPr>
          <w:p>
            <w:r>
              <w:t>AD-CP17-05</w:t>
            </w:r>
          </w:p>
        </w:tc>
        <w:tc>
          <w:tcPr>
            <w:tcW w:type="dxa" w:w="3360"/>
          </w:tcPr>
          <w:p>
            <w:r>
              <w:t>Latest-ingestion freshness association</w:t>
            </w:r>
          </w:p>
        </w:tc>
        <w:tc>
          <w:tcPr>
            <w:tcW w:type="dxa" w:w="3360"/>
          </w:tcPr>
          <w:p>
            <w:r>
              <w:t>After successful refresh, dataset freshness must reference the latest successful ingestion execution; failure must not advance successful freshness.</w:t>
            </w:r>
          </w:p>
        </w:tc>
      </w:tr>
      <w:tr>
        <w:tc>
          <w:tcPr>
            <w:tcW w:type="dxa" w:w="3360"/>
          </w:tcPr>
          <w:p>
            <w:r>
              <w:t>AD-CP18-01</w:t>
            </w:r>
          </w:p>
        </w:tc>
        <w:tc>
          <w:tcPr>
            <w:tcW w:type="dxa" w:w="3360"/>
          </w:tcPr>
          <w:p>
            <w:r>
              <w:t>Production projection as strategy-input bridge</w:t>
            </w:r>
          </w:p>
        </w:tc>
        <w:tc>
          <w:tcPr>
            <w:tcW w:type="dxa" w:w="3360"/>
          </w:tcPr>
          <w:p>
            <w:r>
              <w:t>ProductionProjectionResult is the explicit bridge between verified/modelled inputs and strategy orchestration.</w:t>
            </w:r>
          </w:p>
        </w:tc>
      </w:tr>
      <w:tr>
        <w:tc>
          <w:tcPr>
            <w:tcW w:type="dxa" w:w="3360"/>
          </w:tcPr>
          <w:p>
            <w:r>
              <w:t>AD-CP18-02</w:t>
            </w:r>
          </w:p>
        </w:tc>
        <w:tc>
          <w:tcPr>
            <w:tcW w:type="dxa" w:w="3360"/>
          </w:tcPr>
          <w:p>
            <w:r>
              <w:t>Point-in-time projection horizon contract</w:t>
            </w:r>
          </w:p>
        </w:tc>
        <w:tc>
          <w:tcPr>
            <w:tcW w:type="dxa" w:w="3360"/>
          </w:tcPr>
          <w:p>
            <w:r>
              <w:t>Completed fixtures before target GW define the state boundary; only future/uncompleted fixtures in the requested horizon may drive the forecast.</w:t>
            </w:r>
          </w:p>
        </w:tc>
      </w:tr>
      <w:tr>
        <w:tc>
          <w:tcPr>
            <w:tcW w:type="dxa" w:w="3360"/>
          </w:tcPr>
          <w:p>
            <w:r>
              <w:t>AD-CP18-03</w:t>
            </w:r>
          </w:p>
        </w:tc>
        <w:tc>
          <w:tcPr>
            <w:tcW w:type="dxa" w:w="3360"/>
          </w:tcPr>
          <w:p>
            <w:r>
              <w:t>Typed production orchestration boundary</w:t>
            </w:r>
          </w:p>
        </w:tc>
        <w:tc>
          <w:tcPr>
            <w:tcW w:type="dxa" w:w="3360"/>
          </w:tcPr>
          <w:p>
            <w:r>
              <w:t>The production adapter accepts ProductionProjectionResult and validates target/horizon alignment before invoking existing orchestration.</w:t>
            </w:r>
          </w:p>
        </w:tc>
      </w:tr>
      <w:tr>
        <w:tc>
          <w:tcPr>
            <w:tcW w:type="dxa" w:w="3360"/>
          </w:tcPr>
          <w:p>
            <w:r>
              <w:t>AD-CP18-04</w:t>
            </w:r>
          </w:p>
        </w:tc>
        <w:tc>
          <w:tcPr>
            <w:tcW w:type="dxa" w:w="3360"/>
          </w:tcPr>
          <w:p>
            <w:r>
              <w:t>Projection trust propagation</w:t>
            </w:r>
          </w:p>
        </w:tc>
        <w:tc>
          <w:tcPr>
            <w:tcW w:type="dxa" w:w="3360"/>
          </w:tcPr>
          <w:p>
            <w:r>
              <w:t>Projection completeness and warnings must propagate into StrategicDecision; downstream strategy must not silently upgrade incomplete projection data to complete.</w:t>
            </w:r>
          </w:p>
        </w:tc>
      </w:tr>
      <w:tr>
        <w:tc>
          <w:tcPr>
            <w:tcW w:type="dxa" w:w="3360"/>
          </w:tcPr>
          <w:p>
            <w:r>
              <w:t>AD-CP18-05</w:t>
            </w:r>
          </w:p>
        </w:tc>
        <w:tc>
          <w:tcPr>
            <w:tcW w:type="dxa" w:w="3360"/>
          </w:tcPr>
          <w:p>
            <w:r>
              <w:t>Runtime projection is not a persistence entity</w:t>
            </w:r>
          </w:p>
        </w:tc>
        <w:tc>
          <w:tcPr>
            <w:tcW w:type="dxa" w:w="3360"/>
          </w:tcPr>
          <w:p>
            <w:r>
              <w:t>ProductionProjectionResult is a runtime model contract, not a new canonical relational entity; persistence of prediction snapshots remains a later decision.</w:t>
            </w:r>
          </w:p>
        </w:tc>
      </w:tr>
      <w:tr>
        <w:tc>
          <w:tcPr>
            <w:tcW w:type="dxa" w:w="3360"/>
          </w:tcPr>
          <w:p>
            <w:r>
              <w:t>AD-CP18-06</w:t>
            </w:r>
          </w:p>
        </w:tc>
        <w:tc>
          <w:tcPr>
            <w:tcW w:type="dxa" w:w="3360"/>
          </w:tcPr>
          <w:p>
            <w:r>
              <w:t>Backward-compatible orchestrator versioning</w:t>
            </w:r>
          </w:p>
        </w:tc>
        <w:tc>
          <w:tcPr>
            <w:tcW w:type="dxa" w:w="3360"/>
          </w:tcPr>
          <w:p>
            <w:r>
              <w:t>Keep legacy direct orchestration at strategy_orchestrator_v1_2 and version only the production-integrated path as strategy_orchestrator_v1_3.</w:t>
            </w:r>
          </w:p>
        </w:tc>
      </w:tr>
    </w:tbl>
    <w:p>
      <w:pPr>
        <w:pStyle w:val="Heading1"/>
      </w:pPr>
      <w:bookmarkStart w:id="1002" w:name="IndexTarget1002"/>
      <w:r>
        <w:t>2. Key Current Decisions by Domain</w:t>
      </w:r>
      <w:bookmarkEnd w:id="1002"/>
    </w:p>
    <w:p>
      <w:pPr>
        <w:pStyle w:val="Heading2"/>
      </w:pPr>
      <w:r>
        <w:t>Data truth</w:t>
      </w:r>
    </w:p>
    <w:p>
      <w:pPr>
        <w:pStyle w:val="ListBullet"/>
      </w:pPr>
      <w:r>
        <w:t>Official FPL API is the authoritative source for current FPL facts.</w:t>
      </w:r>
    </w:p>
    <w:p>
      <w:pPr>
        <w:pStyle w:val="ListBullet"/>
      </w:pPr>
      <w:r>
        <w:t>Historical player/team core data remains FPL-authoritative.</w:t>
      </w:r>
    </w:p>
    <w:p>
      <w:pPr>
        <w:pStyle w:val="ListBullet"/>
      </w:pPr>
      <w:r>
        <w:t>Secondary sources are separate modelling features only if later validated.</w:t>
      </w:r>
    </w:p>
    <w:p>
      <w:pPr>
        <w:pStyle w:val="Heading2"/>
      </w:pPr>
      <w:r>
        <w:t>Prediction</w:t>
      </w:r>
    </w:p>
    <w:p>
      <w:pPr>
        <w:pStyle w:val="ListBullet"/>
      </w:pPr>
      <w:r>
        <w:t>Current-season prediction state is point-in-time and season-scoped; historical priors are a separate layer.</w:t>
      </w:r>
    </w:p>
    <w:p>
      <w:pPr>
        <w:pStyle w:val="ListBullet"/>
      </w:pPr>
      <w:r>
        <w:t>Historical Prior Layer integration is deferred until its methodology is explicitly specified and validated.</w:t>
      </w:r>
    </w:p>
    <w:p>
      <w:pPr>
        <w:pStyle w:val="ListBullet"/>
      </w:pPr>
      <w:r>
        <w:t>Statistical-first baseline.</w:t>
      </w:r>
    </w:p>
    <w:p>
      <w:pPr>
        <w:pStyle w:val="ListBullet"/>
      </w:pPr>
      <w:r>
        <w:t>Walk-forward evaluation.</w:t>
      </w:r>
    </w:p>
    <w:p>
      <w:pPr>
        <w:pStyle w:val="ListBullet"/>
      </w:pPr>
      <w:r>
        <w:t>Prediction snapshots before fixtures and actuals after fixtures.</w:t>
      </w:r>
    </w:p>
    <w:p>
      <w:pPr>
        <w:pStyle w:val="ListBullet"/>
      </w:pPr>
      <w:r>
        <w:t>No look-ahead leakage.</w:t>
      </w:r>
    </w:p>
    <w:p>
      <w:pPr>
        <w:pStyle w:val="Heading2"/>
      </w:pPr>
      <w:r>
        <w:t>Strategy</w:t>
      </w:r>
    </w:p>
    <w:p>
      <w:pPr>
        <w:pStyle w:val="ListBullet"/>
      </w:pPr>
      <w:r>
        <w:t>One universal optimizer per FPL team.</w:t>
      </w:r>
    </w:p>
    <w:p>
      <w:pPr>
        <w:pStyle w:val="ListBullet"/>
      </w:pPr>
      <w:r>
        <w:t>Expected value plus controlled upside.</w:t>
      </w:r>
    </w:p>
    <w:p>
      <w:pPr>
        <w:pStyle w:val="ListBullet"/>
      </w:pPr>
      <w:r>
        <w:t>No-transfer is a valid action.</w:t>
      </w:r>
    </w:p>
    <w:p>
      <w:pPr>
        <w:pStyle w:val="ListBullet"/>
      </w:pPr>
      <w:r>
        <w:t>Chips are evaluated through opportunity cost and future value.</w:t>
      </w:r>
    </w:p>
    <w:p>
      <w:pPr>
        <w:pStyle w:val="Heading2"/>
      </w:pPr>
      <w:r>
        <w:t>Product</w:t>
      </w:r>
    </w:p>
    <w:p>
      <w:pPr>
        <w:pStyle w:val="ListBullet"/>
      </w:pPr>
      <w:r>
        <w:t>Persistent conversations plus structured strategic memory.</w:t>
      </w:r>
    </w:p>
    <w:p>
      <w:pPr>
        <w:pStyle w:val="ListBullet"/>
      </w:pPr>
      <w:r>
        <w:t>Proactive approximately three-times-per-GW operating cadence.</w:t>
      </w:r>
    </w:p>
    <w:p>
      <w:pPr>
        <w:pStyle w:val="ListBullet"/>
      </w:pPr>
      <w:r>
        <w:t>Cloud-first mobile/web access.</w:t>
      </w:r>
    </w:p>
    <w:p>
      <w:pPr>
        <w:pStyle w:val="ListBullet"/>
      </w:pPr>
      <w:r>
        <w:t>₹0 additional cost target.</w:t>
      </w:r>
    </w:p>
    <w:p>
      <w:pPr>
        <w:pStyle w:val="Heading2"/>
      </w:pPr>
      <w:r>
        <w:t>Multi-user</w:t>
      </w:r>
    </w:p>
    <w:p>
      <w:pPr>
        <w:pStyle w:val="ListBullet"/>
      </w:pPr>
      <w:r>
        <w:t>Shared global FPL data.</w:t>
      </w:r>
    </w:p>
    <w:p>
      <w:pPr>
        <w:pStyle w:val="ListBullet"/>
      </w:pPr>
      <w:r>
        <w:t>Strictly isolated user-specific state and conversations.</w:t>
      </w:r>
    </w:p>
    <w:p>
      <w:pPr>
        <w:pStyle w:val="ListBullet"/>
      </w:pPr>
      <w:r>
        <w:t>Future login/authentication.</w:t>
      </w:r>
    </w:p>
    <w:p>
      <w:pPr>
        <w:pStyle w:val="Heading1"/>
      </w:pPr>
      <w:bookmarkStart w:id="1003" w:name="IndexTarget1003"/>
      <w:r>
        <w:t>3. v0.8 Thread Reconciliation Record</w:t>
      </w:r>
      <w:bookmarkEnd w:id="1003"/>
    </w:p>
    <w:p>
      <w:r>
        <w:t>This checkpoint was created specifically because the previous v0.7 documentation did not fully capture all material post-v0.5 decisions. The reconciliation reviewed the accumulated project direction represented in the thread and explicitly carried forward the following categories:</w:t>
      </w:r>
    </w:p>
    <w:p>
      <w:pPr>
        <w:pStyle w:val="ListBullet"/>
      </w:pPr>
      <w:r>
        <w:t>Business objective and north-star optimization.</w:t>
      </w:r>
    </w:p>
    <w:p>
      <w:pPr>
        <w:pStyle w:val="ListBullet"/>
      </w:pPr>
      <w:r>
        <w:t>Mini-league payout/rival context versus the single-team universal optimizer.</w:t>
      </w:r>
    </w:p>
    <w:p>
      <w:pPr>
        <w:pStyle w:val="ListBullet"/>
      </w:pPr>
      <w:r>
        <w:t>Persistent conversation/session architecture.</w:t>
      </w:r>
    </w:p>
    <w:p>
      <w:pPr>
        <w:pStyle w:val="ListBullet"/>
      </w:pPr>
      <w:r>
        <w:t>Separate structured strategic memory.</w:t>
      </w:r>
    </w:p>
    <w:p>
      <w:pPr>
        <w:pStyle w:val="ListBullet"/>
      </w:pPr>
      <w:r>
        <w:t>Proactive analysis cadence.</w:t>
      </w:r>
    </w:p>
    <w:p>
      <w:pPr>
        <w:pStyle w:val="ListBullet"/>
      </w:pPr>
      <w:r>
        <w:t>Manager-state re-verification after transfers.</w:t>
      </w:r>
    </w:p>
    <w:p>
      <w:pPr>
        <w:pStyle w:val="ListBullet"/>
      </w:pPr>
      <w:r>
        <w:t>Trust hierarchy, provenance and NO DATA = NO ANSWER.</w:t>
      </w:r>
    </w:p>
    <w:p>
      <w:pPr>
        <w:pStyle w:val="ListBullet"/>
      </w:pPr>
      <w:r>
        <w:t>Risk/upside strategy and controlled differentials.</w:t>
      </w:r>
    </w:p>
    <w:p>
      <w:pPr>
        <w:pStyle w:val="ListBullet"/>
      </w:pPr>
      <w:r>
        <w:t>Chip opportunity map and multi-GW planning.</w:t>
      </w:r>
    </w:p>
    <w:p>
      <w:pPr>
        <w:pStyle w:val="ListBullet"/>
      </w:pPr>
      <w:r>
        <w:t>Dream Team as post-GW evaluation only.</w:t>
      </w:r>
    </w:p>
    <w:p>
      <w:pPr>
        <w:pStyle w:val="ListBullet"/>
      </w:pPr>
      <w:r>
        <w:t>Cloud-first access and ₹0 cost target.</w:t>
      </w:r>
    </w:p>
    <w:p>
      <w:pPr>
        <w:pStyle w:val="ListBullet"/>
      </w:pPr>
      <w:r>
        <w:t>Future multi-user authentication and isolation.</w:t>
      </w:r>
    </w:p>
    <w:p>
      <w:pPr>
        <w:pStyle w:val="ListBullet"/>
      </w:pPr>
      <w:r>
        <w:t>FPL truth-layer architecture and caching/persistence.</w:t>
      </w:r>
    </w:p>
    <w:p>
      <w:pPr>
        <w:pStyle w:val="ListBullet"/>
      </w:pPr>
      <w:r>
        <w:t>Six-season historical dataset and walk-forward windows.</w:t>
      </w:r>
    </w:p>
    <w:p>
      <w:pPr>
        <w:pStyle w:val="ListBullet"/>
      </w:pPr>
      <w:r>
        <w:t>Historical player canonical grain, duplicate validation, NULL policy and postponed-GW handling.</w:t>
      </w:r>
    </w:p>
    <w:p>
      <w:pPr>
        <w:pStyle w:val="ListBullet"/>
      </w:pPr>
      <w:r>
        <w:t>Historical team layer and transparent team-strength layer.</w:t>
      </w:r>
    </w:p>
    <w:p>
      <w:pPr>
        <w:pStyle w:val="ListBullet"/>
      </w:pPr>
      <w:r>
        <w:t>Official FDR benchmark versus independent internal fixture model.</w:t>
      </w:r>
    </w:p>
    <w:p>
      <w:pPr>
        <w:pStyle w:val="ListBullet"/>
      </w:pPr>
      <w:r>
        <w:t>Prediction snapshots, model versions and auditability.</w:t>
      </w:r>
    </w:p>
    <w:p>
      <w:pPr>
        <w:pStyle w:val="ListBullet"/>
      </w:pPr>
      <w:r>
        <w:t>Roadmap ordering after the current implementation checkpoint.</w:t>
      </w:r>
    </w:p>
    <w:p>
      <w:pPr>
        <w:pStyle w:val="ListBullet"/>
      </w:pPr>
      <w:r>
        <w:t>Beginner-friendly coding and Git workflow.</w:t>
      </w:r>
    </w:p>
    <w:p>
      <w:pPr>
        <w:pStyle w:val="Heading1"/>
      </w:pPr>
      <w:bookmarkStart w:id="1004" w:name="IndexTarget1004"/>
      <w:r>
        <w:t>4. Current Implementation Checkpoint</w:t>
      </w:r>
      <w:bookmarkEnd w:id="1004"/>
    </w:p>
    <w:p>
      <w:pPr>
        <w:pStyle w:val="ListBullet"/>
      </w:pPr>
      <w:r>
        <w:t>GitHub commit 1182c23 — Add expected goals baseline and calibration — is the current pre-Historical-Prior baseline checkpoint.</w:t>
      </w:r>
    </w:p>
    <w:p>
      <w:pPr>
        <w:pStyle w:val="ListBullet"/>
      </w:pPr>
      <w:r>
        <w:t>The Historical Prior Layer methodology is now locked at V1; implementation and walk-forward dataset rebuild are the next technical steps.</w:t>
      </w:r>
    </w:p>
    <w:p>
      <w:pPr>
        <w:pStyle w:val="ListBullet"/>
      </w:pPr>
      <w:r>
        <w:t>The current expected-goals baseline and leakage-safe calibration work are treated as the pre-Historical-Prior baseline checkpoint; production parameter selection remains deferred until the state methodology is finalized.</w:t>
      </w:r>
    </w:p>
    <w:p>
      <w:pPr>
        <w:pStyle w:val="ListBullet"/>
      </w:pPr>
      <w:r>
        <w:t>GitHub commit 300c5a0 — Add historical player data ingestion and validation.</w:t>
      </w:r>
    </w:p>
    <w:p>
      <w:pPr>
        <w:pStyle w:val="ListBullet"/>
      </w:pPr>
      <w:r>
        <w:t>team_strength.py completed.</w:t>
      </w:r>
    </w:p>
    <w:p>
      <w:pPr>
        <w:pStyle w:val="ListBullet"/>
      </w:pPr>
      <w:r>
        <w:t>historical_team_data.py completed and validated: 2,280 matches across six seasons.</w:t>
      </w:r>
    </w:p>
    <w:p>
      <w:pPr>
        <w:pStyle w:val="ListBullet"/>
      </w:pPr>
      <w:r>
        <w:t>historical_player_data.py completed and validated: 163,394 canonical player-fixture records.</w:t>
      </w:r>
    </w:p>
    <w:p>
      <w:pPr>
        <w:pStyle w:val="ListBullet"/>
      </w:pPr>
      <w:r>
        <w:t>Known 2025/26 exact duplicates handled.</w:t>
      </w:r>
    </w:p>
    <w:p>
      <w:pPr>
        <w:pStyle w:val="ListBullet"/>
      </w:pPr>
      <w:r>
        <w:t>No unvalidated third-party xG/xA backfill has been introduced into the authoritative historical dataset.</w:t>
      </w:r>
    </w:p>
    <w:p>
      <w:pPr>
        <w:pStyle w:val="Heading2"/>
      </w:pPr>
      <w:r>
        <w:t>4.1 Database Architecture Checkpoint</w:t>
      </w:r>
    </w:p>
    <w:p>
      <w:pPr>
        <w:pStyle w:val="ListBullet"/>
      </w:pPr>
      <w:r>
        <w:t>Latest implementation checkpoint from 28 September 2026: commit 3ba5927 — Add incremental refresh and FPL rules layers; full test suite baseline was 131 passed in 11.21s before database changes.</w:t>
      </w:r>
    </w:p>
    <w:p>
      <w:pPr>
        <w:pStyle w:val="ListBullet"/>
      </w:pPr>
      <w:r>
        <w:t>Incremental refresh and FPL rules/freshness layers are implemented in the JSON-backed prototype and are to be preserved conceptually during SQLite migration.</w:t>
      </w:r>
    </w:p>
    <w:p>
      <w:pPr>
        <w:pStyle w:val="ListBullet"/>
      </w:pPr>
      <w:r>
        <w:t>The SQLite schema and repository foundation are implemented and tested. Batch 18A completed production projection and Batch 18B completed the initial production projection → strategy-orchestrator adapter. Remaining work includes persistence-aware refresh integration, availability/news and Expected Minutes enrichment, and leakage-safe evaluation/calibration.</w:t>
      </w:r>
    </w:p>
    <w:p>
      <w:pPr>
        <w:pStyle w:val="ListBullet"/>
      </w:pPr>
      <w:r>
        <w:t>The database design checkpoint is complete; implementation may now proceed without changing app.py prematurely.</w:t>
      </w:r>
    </w:p>
    <w:p>
      <w:pPr>
        <w:pStyle w:val="ListBullet"/>
      </w:pPr>
      <w:r>
        <w:t>Batch 18A / commit 0905d96: production projection pipeline completed.</w:t>
      </w:r>
    </w:p>
    <w:p>
      <w:pPr>
        <w:pStyle w:val="ListBullet"/>
      </w:pPr>
      <w:r>
        <w:t>Batch 18B / commit ce1c62c: production projection integrated with strategy orchestrator; 18B focused tests and the full local suite were reported passing in the development environment.</w:t>
      </w:r>
    </w:p>
    <w:p>
      <w:pPr>
        <w:pStyle w:val="Heading1"/>
      </w:pPr>
      <w:r>
        <w:t>8. Multi-Horizon Strategy Architecture — Pre-Batch 18C Design Checkpoint</w:t>
      </w:r>
    </w:p>
    <w:p>
      <w:r>
        <w:t>This checkpoint converts the strategic intent discussed after Batch 18B into explicit architecture decisions. It is a design baseline for Batch 18C; it does not claim that the scenario optimizer or cross-horizon reconciliation is implemented yet.</w:t>
      </w:r>
    </w:p>
    <w:p>
      <w:pPr>
        <w:pStyle w:val="Heading2"/>
      </w:pPr>
      <w:r>
        <w:t>8.1 Decision model</w:t>
      </w:r>
    </w:p>
    <w:p>
      <w:r>
        <w:t>The strategist shall seek the best supported overall outcome, not three separate “best” answers. Target-GW, 3-GW, 5-GW and 8-GW views are overlapping evaluation windows over common quantitative projections.</w:t>
      </w:r>
    </w:p>
    <w:p>
      <w:pPr>
        <w:pStyle w:val="Heading2"/>
      </w:pPr>
      <w:r>
        <w:t>8.2 Scenario optimization</w:t>
      </w:r>
    </w:p>
    <w:p>
      <w:r>
        <w:t>The optimization unit is a complete strategy scenario. Individual transfers are candidate actions inside a scenario, not the final optimization object.</w:t>
      </w:r>
    </w:p>
    <w:p>
      <w:pPr>
        <w:pStyle w:val="Heading2"/>
      </w:pPr>
      <w:r>
        <w:t>8.3 Hybrid strategy selection</w:t>
      </w:r>
    </w:p>
    <w:p>
      <w:r>
        <w:t>If short- and medium-term strategies conflict, the system shall compare their consequences and may recommend a hybrid strategy when it provides the strongest supported outcome subject to FPL constraints and manager state.</w:t>
      </w:r>
    </w:p>
    <w:p>
      <w:pPr>
        <w:pStyle w:val="Heading2"/>
      </w:pPr>
      <w:r>
        <w:t>8.4 Implementation boundary</w:t>
      </w:r>
    </w:p>
    <w:p>
      <w:r>
        <w:t>ProductionProjectionResult remains the quantitative input boundary. The scenario layer consumes those projections; the StrategicDecision remains the downstream decision contract. No new persistent ER entity is implied by this design alone.</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ListBullet"/>
      </w:pPr>
      <w:r>
        <w:t>Decide when prediction snapshots generated by the production projection layer become persistent database records and which snapshot grain is required for reproducible evaluation.</w:t>
      </w:r>
    </w:p>
    <w:p>
      <w:pPr>
        <w:pStyle w:val="ListBullet"/>
      </w:pPr>
      <w:r>
        <w:t>Decide the minimum availability/news and Expected Minutes inputs required before treating production expected points as fully production-calibrated.</w:t>
      </w:r>
    </w:p>
    <w:p>
      <w:pPr>
        <w:pStyle w:val="Heading1"/>
      </w:pPr>
      <w:bookmarkStart w:id="1005" w:name="IndexTarget1005"/>
      <w:r>
        <w:t>5. Next Decisions to Record</w:t>
      </w:r>
      <w:bookmarkEnd w:id="1005"/>
    </w:p>
    <w:p>
      <w:pPr>
        <w:pStyle w:val="ListBullet"/>
      </w:pPr>
      <w:r>
        <w:t>Validate the production projection pipeline end-to-end against historical and walk-forward evaluation; keep historical priors outside production expected-goals inputs until incremental value is demonstrated.</w:t>
      </w:r>
    </w:p>
    <w:p>
      <w:pPr>
        <w:pStyle w:val="ListBullet"/>
      </w:pPr>
      <w:r>
        <w:t>Add unit and real-data validation for historical prior construction, including recency weighting, sample coverage, promoted/no-history handling and strict season boundaries.</w:t>
      </w:r>
    </w:p>
    <w:p>
      <w:pPr>
        <w:pStyle w:val="ListBullet"/>
      </w:pPr>
      <w:r>
        <w:t>Rebuild the walk-forward validation dataset so each test fixture has a leakage-safe historical prior alongside current-season point-in-time state.</w:t>
      </w:r>
    </w:p>
    <w:p>
      <w:pPr>
        <w:pStyle w:val="ListBullet"/>
      </w:pPr>
      <w:r>
        <w:t>Rerun expected-goals evaluation and leakage-safe shrinkage calibration only after the rebuilt dataset is validated.</w:t>
      </w:r>
    </w:p>
    <w:p>
      <w:pPr>
        <w:pStyle w:val="ListBullet"/>
      </w:pPr>
      <w:r>
        <w:t>Decide whether historical priors enter the expected-goals formula only after standalone and integrated walk-forward evidence is available.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v1.2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Architecture Decision Log</dc:title>
  <dc:subject>Living record of modelling, data, architecture, trust and product decisions</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version>v0.4</cp:version>
</cp:coreProperties>
</file>