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96"/>
        <w:jc w:val="center"/>
      </w:pPr>
      <w:r>
        <w:rPr>
          <w:b/>
          <w:sz w:val="50"/>
        </w:rPr>
        <w:t>FPL-Agent — Business Requirements Document</w:t>
      </w:r>
    </w:p>
    <w:p>
      <w:pPr>
        <w:spacing w:before="280"/>
        <w:jc w:val="center"/>
      </w:pPr>
      <w:r>
        <w:rPr>
          <w:sz w:val="26"/>
        </w:rPr>
        <w:t>Business requirements, strategic objectives and product scope</w:t>
      </w:r>
    </w:p>
    <w:p>
      <w:pPr>
        <w:spacing w:before="3744"/>
        <w:jc w:val="center"/>
      </w:pPr>
      <w:r>
        <w:rPr>
          <w:i/>
          <w:sz w:val="20"/>
        </w:rPr>
        <w:t>Living Project Documentation</w:t>
      </w:r>
    </w:p>
    <w:p>
      <w:pPr>
        <w:spacing w:before="160"/>
        <w:jc w:val="center"/>
      </w:pPr>
      <w:r>
        <w:t>Document version: v1.6</w:t>
      </w:r>
    </w:p>
    <w:p>
      <w:pPr>
        <w:jc w:val="center"/>
      </w:pPr>
      <w:r>
        <w:t>3 October 2026, current full-history reconciliation checkpoint</w:t>
      </w:r>
    </w:p>
    <w:p>
      <w:r>
        <w:br w:type="page"/>
      </w:r>
    </w:p>
    <w:p>
      <w:pPr>
        <w:pStyle w:val="Heading1"/>
      </w:pPr>
      <w:bookmarkStart w:id="1000" w:name="IndexTarget1000"/>
      <w:r>
        <w:t>Change Log</w:t>
      </w:r>
      <w:bookmarkEnd w:id="1000"/>
    </w:p>
    <w:p>
      <w:pPr>
        <w:spacing w:after="160"/>
      </w:pPr>
      <w:r>
        <w:rPr>
          <w:sz w:val="18"/>
        </w:rPr>
        <w:t>Version history is recorded using IST. Where a historical documentation version could not be mapped to an exact work-session timestamp from the recovered record, no timestamp is invented.</w:t>
      </w:r>
    </w:p>
    <w:tbl>
      <w:tblPr>
        <w:tblStyle w:val="TableGrid"/>
        <w:tblW w:type="auto" w:w="0"/>
        <w:tblLook w:firstColumn="1" w:firstRow="1" w:lastColumn="0" w:lastRow="0" w:noHBand="0" w:noVBand="1" w:val="04A0"/>
      </w:tblPr>
      <w:tblGrid>
        <w:gridCol w:w="3264"/>
        <w:gridCol w:w="3264"/>
        <w:gridCol w:w="3264"/>
        <w:gridCol w:w="1440"/>
        <w:gridCol w:w="1440"/>
        <w:gridCol w:w="1440"/>
      </w:tblGrid>
      <w:tr>
        <w:tc>
          <w:tcPr>
            <w:tcW w:type="dxa" w:w="3264"/>
          </w:tcPr>
          <w:p>
            <w:r>
              <w:t>Date</w:t>
            </w:r>
          </w:p>
        </w:tc>
        <w:tc>
          <w:tcPr>
            <w:tcW w:type="dxa" w:w="3264"/>
          </w:tcPr>
          <w:p>
            <w:r>
              <w:t>Version</w:t>
            </w:r>
          </w:p>
        </w:tc>
        <w:tc>
          <w:tcPr>
            <w:tcW w:type="dxa" w:w="3264"/>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264"/>
          </w:tcPr>
          <w:p>
            <w:r>
              <w:t>Earlier work-session checkpoints; exact version mapping not independently recoverable</w:t>
            </w:r>
          </w:p>
        </w:tc>
        <w:tc>
          <w:tcPr>
            <w:tcW w:type="dxa" w:w="3264"/>
          </w:tcPr>
          <w:p>
            <w:r>
              <w:t>v0.1–v0.4</w:t>
            </w:r>
          </w:p>
        </w:tc>
        <w:tc>
          <w:tcPr>
            <w:tcW w:type="dxa" w:w="3264"/>
          </w:tcPr>
          <w:p>
            <w:r>
              <w:t>Document history</w:t>
            </w:r>
          </w:p>
        </w:tc>
        <w:tc>
          <w:tcPr>
            <w:tcW w:type="dxa" w:w="1440"/>
          </w:tcPr>
          <w:p>
            <w:r/>
          </w:p>
        </w:tc>
        <w:tc>
          <w:tcPr>
            <w:tcW w:type="dxa" w:w="1440"/>
          </w:tcPr>
          <w:p>
            <w:r>
              <w:t>Historical</w:t>
            </w:r>
          </w:p>
        </w:tc>
        <w:tc>
          <w:tcPr>
            <w:tcW w:type="dxa" w:w="1440"/>
          </w:tcPr>
          <w:p>
            <w:r>
              <w:t>Pre-v0.5 project evolution. Earlier development decisions were incorporated into the synchronized documentation; no version-specific timestamp is invented where the work-session record does not explicitly identify the documentation version.</w:t>
            </w:r>
          </w:p>
        </w:tc>
      </w:tr>
      <w:tr>
        <w:tc>
          <w:tcPr>
            <w:tcW w:type="dxa" w:w="3264"/>
          </w:tcPr>
          <w:p>
            <w:r>
              <w:t>22 September 2026, 21:17:08 IST</w:t>
            </w:r>
          </w:p>
        </w:tc>
        <w:tc>
          <w:tcPr>
            <w:tcW w:type="dxa" w:w="3264"/>
          </w:tcPr>
          <w:p>
            <w:r>
              <w:t>Development checkpoint</w:t>
            </w:r>
          </w:p>
        </w:tc>
        <w:tc>
          <w:tcPr>
            <w:tcW w:type="dxa" w:w="3264"/>
          </w:tcPr>
          <w:p>
            <w:r>
              <w:t>Document history</w:t>
            </w:r>
          </w:p>
        </w:tc>
        <w:tc>
          <w:tcPr>
            <w:tcW w:type="dxa" w:w="1440"/>
          </w:tcPr>
          <w:p>
            <w:r/>
          </w:p>
        </w:tc>
        <w:tc>
          <w:tcPr>
            <w:tcW w:type="dxa" w:w="1440"/>
          </w:tcPr>
          <w:p>
            <w:r>
              <w:t>Historical</w:t>
            </w:r>
          </w:p>
        </w:tc>
        <w:tc>
          <w:tcPr>
            <w:tcW w:type="dxa" w:w="1440"/>
          </w:tcPr>
          <w:p>
            <w:r>
              <w:t>Commit 9dd06da — Add structured player history. This is retained as an explicit pre-v0.5 project checkpoint, without retroactively assigning it to a specific documentation version.</w:t>
            </w:r>
          </w:p>
        </w:tc>
      </w:tr>
      <w:tr>
        <w:tc>
          <w:tcPr>
            <w:tcW w:type="dxa" w:w="3264"/>
          </w:tcPr>
          <w:p>
            <w:r>
              <w:t>24 September 2026, 19:43:54 IST</w:t>
            </w:r>
          </w:p>
        </w:tc>
        <w:tc>
          <w:tcPr>
            <w:tcW w:type="dxa" w:w="3264"/>
          </w:tcPr>
          <w:p>
            <w:r>
              <w:t>v0.5</w:t>
            </w:r>
          </w:p>
        </w:tc>
        <w:tc>
          <w:tcPr>
            <w:tcW w:type="dxa" w:w="3264"/>
          </w:tcPr>
          <w:p>
            <w:r>
              <w:t>Document history</w:t>
            </w:r>
          </w:p>
        </w:tc>
        <w:tc>
          <w:tcPr>
            <w:tcW w:type="dxa" w:w="1440"/>
          </w:tcPr>
          <w:p>
            <w:r/>
          </w:p>
        </w:tc>
        <w:tc>
          <w:tcPr>
            <w:tcW w:type="dxa" w:w="1440"/>
          </w:tcPr>
          <w:p>
            <w:r>
              <w:t>Historical</w:t>
            </w:r>
          </w:p>
        </w:tc>
        <w:tc>
          <w:tcPr>
            <w:tcW w:type="dxa" w:w="1440"/>
          </w:tcPr>
          <w:p>
            <w:r>
              <w:t>Prior synchronized documentation checkpoint.</w:t>
            </w:r>
          </w:p>
        </w:tc>
      </w:tr>
      <w:tr>
        <w:tc>
          <w:tcPr>
            <w:tcW w:type="dxa" w:w="3264"/>
          </w:tcPr>
          <w:p>
            <w:r>
              <w:t>25 September 2026, 01:11:24 IST</w:t>
            </w:r>
          </w:p>
        </w:tc>
        <w:tc>
          <w:tcPr>
            <w:tcW w:type="dxa" w:w="3264"/>
          </w:tcPr>
          <w:p>
            <w:r>
              <w:t>v0.6</w:t>
            </w:r>
          </w:p>
        </w:tc>
        <w:tc>
          <w:tcPr>
            <w:tcW w:type="dxa" w:w="3264"/>
          </w:tcPr>
          <w:p>
            <w:r>
              <w:t>Document history</w:t>
            </w:r>
          </w:p>
        </w:tc>
        <w:tc>
          <w:tcPr>
            <w:tcW w:type="dxa" w:w="1440"/>
          </w:tcPr>
          <w:p>
            <w:r/>
          </w:p>
        </w:tc>
        <w:tc>
          <w:tcPr>
            <w:tcW w:type="dxa" w:w="1440"/>
          </w:tcPr>
          <w:p>
            <w:r>
              <w:t>Historical</w:t>
            </w:r>
          </w:p>
        </w:tc>
        <w:tc>
          <w:tcPr>
            <w:tcW w:type="dxa" w:w="1440"/>
          </w:tcPr>
          <w:p>
            <w:r>
              <w:t>Added historical-data governance, statistical-first forecasting, walk-forward evaluation, project-owned historical retention, research-reference policy, prediction auditability, and the requirement to validate team-level xGC before production use.</w:t>
            </w:r>
          </w:p>
        </w:tc>
      </w:tr>
      <w:tr>
        <w:tc>
          <w:tcPr>
            <w:tcW w:type="dxa" w:w="3264"/>
          </w:tcPr>
          <w:p>
            <w:r>
              <w:t>26 September 2026, 11:33:37 IST</w:t>
            </w:r>
          </w:p>
        </w:tc>
        <w:tc>
          <w:tcPr>
            <w:tcW w:type="dxa" w:w="3264"/>
          </w:tcPr>
          <w:p>
            <w:r>
              <w:t>v0.7</w:t>
            </w:r>
          </w:p>
        </w:tc>
        <w:tc>
          <w:tcPr>
            <w:tcW w:type="dxa" w:w="3264"/>
          </w:tcPr>
          <w:p>
            <w:r>
              <w:t>Document history</w:t>
            </w:r>
          </w:p>
        </w:tc>
        <w:tc>
          <w:tcPr>
            <w:tcW w:type="dxa" w:w="1440"/>
          </w:tcPr>
          <w:p>
            <w:r/>
          </w:p>
        </w:tc>
        <w:tc>
          <w:tcPr>
            <w:tcW w:type="dxa" w:w="1440"/>
          </w:tcPr>
          <w:p>
            <w:r>
              <w:t>Historical</w:t>
            </w:r>
          </w:p>
        </w:tc>
        <w:tc>
          <w:tcPr>
            <w:tcW w:type="dxa" w:w="1440"/>
          </w:tcPr>
          <w:p>
            <w:r>
              <w:t>Added validated historical team/player layers, six-season historical coverage, canonical player-fixture grain, provenance and duplicate handling, FPL-authoritative historical truth, and deferral of secondary underlying-data sources from the core truth layer.</w:t>
            </w:r>
          </w:p>
        </w:tc>
      </w:tr>
      <w:tr>
        <w:tc>
          <w:tcPr>
            <w:tcW w:type="dxa" w:w="3264"/>
          </w:tcPr>
          <w:p>
            <w:r>
              <w:t>26 September 2026, 11:43 IST</w:t>
            </w:r>
          </w:p>
        </w:tc>
        <w:tc>
          <w:tcPr>
            <w:tcW w:type="dxa" w:w="3264"/>
          </w:tcPr>
          <w:p>
            <w:r>
              <w:t>v0.8</w:t>
            </w:r>
          </w:p>
        </w:tc>
        <w:tc>
          <w:tcPr>
            <w:tcW w:type="dxa" w:w="3264"/>
          </w:tcPr>
          <w:p>
            <w:r>
              <w:t>Document history</w:t>
            </w:r>
          </w:p>
        </w:tc>
        <w:tc>
          <w:tcPr>
            <w:tcW w:type="dxa" w:w="1440"/>
          </w:tcPr>
          <w:p>
            <w:r/>
          </w:p>
        </w:tc>
        <w:tc>
          <w:tcPr>
            <w:tcW w:type="dxa" w:w="1440"/>
          </w:tcPr>
          <w:p>
            <w:r>
              <w:t>Historical</w:t>
            </w:r>
          </w:p>
        </w:tc>
        <w:tc>
          <w:tcPr>
            <w:tcW w:type="dxa" w:w="1440"/>
          </w:tcPr>
          <w:p>
            <w:r>
              <w:t>Full thread reconciliation after v0.5. Added/clarified the single-team universal optimizer principle, multi-league context model, persistent conversation/session model, structured strategic memory, proactive three-times-per-GW cadence, cloud/mobile access, ₹0 target, shared-vs-user data isolation, NO DATA = NO ANSWER, authoritative state re-verification after transfers, prediction auditability, risk/upside framing, chip planning, Dream Team evaluation-only use, caching/source architecture, historical walk-forward design, coding workflow constraints, and revised roadmap.</w:t>
            </w:r>
          </w:p>
        </w:tc>
      </w:tr>
      <w:tr>
        <w:tc>
          <w:tcPr>
            <w:tcW w:type="dxa" w:w="3264"/>
          </w:tcPr>
          <w:p>
            <w:r>
              <w:t>26 September 2026, current checkpoint</w:t>
            </w:r>
          </w:p>
        </w:tc>
        <w:tc>
          <w:tcPr>
            <w:tcW w:type="dxa" w:w="3264"/>
          </w:tcPr>
          <w:p>
            <w:r>
              <w:t>v0.9</w:t>
            </w:r>
          </w:p>
        </w:tc>
        <w:tc>
          <w:tcPr>
            <w:tcW w:type="dxa" w:w="3264"/>
          </w:tcPr>
          <w:p>
            <w:r>
              <w:t>Document history</w:t>
            </w:r>
          </w:p>
        </w:tc>
        <w:tc>
          <w:tcPr>
            <w:tcW w:type="dxa" w:w="1440"/>
          </w:tcPr>
          <w:p>
            <w:r/>
          </w:p>
        </w:tc>
        <w:tc>
          <w:tcPr>
            <w:tcW w:type="dxa" w:w="1440"/>
          </w:tcPr>
          <w:p>
            <w:r>
              <w:t>Historical</w:t>
            </w:r>
          </w:p>
        </w:tc>
        <w:tc>
          <w:tcPr>
            <w:tcW w:type="dxa" w:w="1440"/>
          </w:tcPr>
          <w:p>
            <w:r>
              <w:t>Reformatted documentation set with a standardized four-page front matter: title page, Change Log page, Index page, then main content. Corrected recovered historical timestamps and preserved the substantive v0.8 content.</w:t>
            </w:r>
          </w:p>
        </w:tc>
      </w:tr>
      <w:tr>
        <w:tc>
          <w:tcPr>
            <w:tcW w:type="dxa" w:w="3264"/>
          </w:tcPr>
          <w:p>
            <w:r>
              <w:t>27 September 2026</w:t>
            </w:r>
          </w:p>
        </w:tc>
        <w:tc>
          <w:tcPr>
            <w:tcW w:type="dxa" w:w="3264"/>
          </w:tcPr>
          <w:p>
            <w:r>
              <w:t>v1.0</w:t>
            </w:r>
          </w:p>
        </w:tc>
        <w:tc>
          <w:tcPr>
            <w:tcW w:type="dxa" w:w="3264"/>
          </w:tcPr>
          <w:p>
            <w:r>
              <w:t>Document history</w:t>
            </w:r>
          </w:p>
        </w:tc>
        <w:tc>
          <w:tcPr>
            <w:tcW w:type="dxa" w:w="1440"/>
          </w:tcPr>
          <w:p>
            <w:r/>
          </w:p>
        </w:tc>
        <w:tc>
          <w:tcPr>
            <w:tcW w:type="dxa" w:w="1440"/>
          </w:tcPr>
          <w:p>
            <w:r>
              <w:t>Historical</w:t>
            </w:r>
          </w:p>
        </w:tc>
        <w:tc>
          <w:tcPr>
            <w:tcW w:type="dxa" w:w="1440"/>
          </w:tcPr>
          <w:p>
            <w:r>
              <w:t>Documentation checkpoint: formalized separation of current-season point-in-time state from a separate Historical Prior Layer; clarified that recent_5 remains current-season only, promoted/relegated handling requires explicit methodology, and historical priors are not yet fed into the baseline expected-goals formula.</w:t>
            </w:r>
          </w:p>
        </w:tc>
      </w:tr>
      <w:tr>
        <w:tc>
          <w:tcPr>
            <w:tcW w:type="dxa" w:w="3264"/>
          </w:tcPr>
          <w:p>
            <w:r>
              <w:t>27 September 2026 14:25 IST</w:t>
            </w:r>
          </w:p>
        </w:tc>
        <w:tc>
          <w:tcPr>
            <w:tcW w:type="dxa" w:w="3264"/>
          </w:tcPr>
          <w:p>
            <w:r>
              <w:t>v1.1</w:t>
            </w:r>
          </w:p>
        </w:tc>
        <w:tc>
          <w:tcPr>
            <w:tcW w:type="dxa" w:w="3264"/>
          </w:tcPr>
          <w:p>
            <w:r>
              <w:t>Document history</w:t>
            </w:r>
          </w:p>
        </w:tc>
        <w:tc>
          <w:tcPr>
            <w:tcW w:type="dxa" w:w="1440"/>
          </w:tcPr>
          <w:p>
            <w:r/>
          </w:p>
        </w:tc>
        <w:tc>
          <w:tcPr>
            <w:tcW w:type="dxa" w:w="1440"/>
          </w:tcPr>
          <w:p>
            <w:r>
              <w:t>Historical</w:t>
            </w:r>
          </w:p>
        </w:tc>
        <w:tc>
          <w:tcPr>
            <w:tcW w:type="dxa" w:w="1440"/>
          </w:tcPr>
          <w:p>
            <w:r>
              <w:t>Locked the Historical Prior Layer methodology: three-season maximum window, 60%/30%/10% recency baseline, explicit missing/promoted-team handling, sample-size metadata, current-season separation, leakage-safe walk-forward construction and diagnostic-first integration.</w:t>
            </w:r>
          </w:p>
        </w:tc>
      </w:tr>
      <w:tr>
        <w:tc>
          <w:tcPr>
            <w:tcW w:type="dxa" w:w="3264"/>
          </w:tcPr>
          <w:p>
            <w:r>
              <w:t>30 September 2026, 22:19:49 IST</w:t>
            </w:r>
          </w:p>
        </w:tc>
        <w:tc>
          <w:tcPr>
            <w:tcW w:type="dxa" w:w="3264"/>
          </w:tcPr>
          <w:p>
            <w:r>
              <w:t>v1.2</w:t>
            </w:r>
          </w:p>
        </w:tc>
        <w:tc>
          <w:tcPr>
            <w:tcW w:type="dxa" w:w="3264"/>
          </w:tcPr>
          <w:p>
            <w:r>
              <w:t>Document history</w:t>
            </w:r>
          </w:p>
        </w:tc>
        <w:tc>
          <w:tcPr>
            <w:tcW w:type="dxa" w:w="1440"/>
          </w:tcPr>
          <w:p>
            <w:r/>
          </w:p>
        </w:tc>
        <w:tc>
          <w:tcPr>
            <w:tcW w:type="dxa" w:w="1440"/>
          </w:tcPr>
          <w:p>
            <w:r>
              <w:t>Historical</w:t>
            </w:r>
          </w:p>
        </w:tc>
        <w:tc>
          <w:tcPr>
            <w:tcW w:type="dxa" w:w="1440"/>
          </w:tcPr>
          <w:p>
            <w:r>
              <w:t>Integrated the SQLite-first persistence architecture, repository abstraction, current-versus-historical data separation, data lineage/provenance requirements, ingestion/freshness distinction, historical-season promotion rules, and documentation/change-control governance. Updated the project checkpoint and roadmap direction toward schema implementation and persistence.</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264"/>
          </w:tcPr>
          <w:p>
            <w:r>
              <w:t>3 October 2026</w:t>
            </w:r>
          </w:p>
        </w:tc>
        <w:tc>
          <w:tcPr>
            <w:tcW w:type="dxa" w:w="3264"/>
          </w:tcPr>
          <w:p>
            <w:r>
              <w:t>v1.4</w:t>
            </w:r>
          </w:p>
        </w:tc>
        <w:tc>
          <w:tcPr>
            <w:tcW w:type="dxa" w:w="3264"/>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264"/>
          </w:tcPr>
          <w:p>
            <w:r>
              <w:t>3 October 2026</w:t>
            </w:r>
          </w:p>
        </w:tc>
        <w:tc>
          <w:tcPr>
            <w:tcW w:type="dxa" w:w="3264"/>
          </w:tcPr>
          <w:p>
            <w:r>
              <w:t>v1.4</w:t>
            </w:r>
          </w:p>
        </w:tc>
        <w:tc>
          <w:tcPr>
            <w:tcW w:type="dxa" w:w="3264"/>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264"/>
          </w:tcPr>
          <w:p>
            <w:r>
              <w:t>3 October 2026</w:t>
            </w:r>
          </w:p>
        </w:tc>
        <w:tc>
          <w:tcPr>
            <w:tcW w:type="dxa" w:w="3264"/>
          </w:tcPr>
          <w:p>
            <w:r>
              <w:t>v1.4</w:t>
            </w:r>
          </w:p>
        </w:tc>
        <w:tc>
          <w:tcPr>
            <w:tcW w:type="dxa" w:w="3264"/>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264"/>
          </w:tcPr>
          <w:p>
            <w:r>
              <w:t>3 October 2026</w:t>
            </w:r>
          </w:p>
        </w:tc>
        <w:tc>
          <w:tcPr>
            <w:tcW w:type="dxa" w:w="3264"/>
          </w:tcPr>
          <w:p>
            <w:r>
              <w:t>v1.4</w:t>
            </w:r>
          </w:p>
        </w:tc>
        <w:tc>
          <w:tcPr>
            <w:tcW w:type="dxa" w:w="3264"/>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264"/>
          </w:tcPr>
          <w:p>
            <w:r>
              <w:t>3 October 2026</w:t>
            </w:r>
          </w:p>
        </w:tc>
        <w:tc>
          <w:tcPr>
            <w:tcW w:type="dxa" w:w="3264"/>
          </w:tcPr>
          <w:p>
            <w:r>
              <w:t>v1.4</w:t>
            </w:r>
          </w:p>
        </w:tc>
        <w:tc>
          <w:tcPr>
            <w:tcW w:type="dxa" w:w="3264"/>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264"/>
          </w:tcPr>
          <w:p>
            <w:r>
              <w:t>3 October 2026</w:t>
            </w:r>
          </w:p>
        </w:tc>
        <w:tc>
          <w:tcPr>
            <w:tcW w:type="dxa" w:w="3264"/>
          </w:tcPr>
          <w:p>
            <w:r>
              <w:t>v1.4</w:t>
            </w:r>
          </w:p>
        </w:tc>
        <w:tc>
          <w:tcPr>
            <w:tcW w:type="dxa" w:w="3264"/>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264"/>
          </w:tcPr>
          <w:p>
            <w:r>
              <w:t>3 October 2026</w:t>
            </w:r>
          </w:p>
        </w:tc>
        <w:tc>
          <w:tcPr>
            <w:tcW w:type="dxa" w:w="3264"/>
          </w:tcPr>
          <w:p>
            <w:r>
              <w:t>v1.4</w:t>
            </w:r>
          </w:p>
        </w:tc>
        <w:tc>
          <w:tcPr>
            <w:tcW w:type="dxa" w:w="3264"/>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264"/>
            <w:vAlign w:val="center"/>
          </w:tcPr>
          <w:p>
            <w:r/>
            <w:r>
              <w:rPr>
                <w:b w:val="0"/>
                <w:sz w:val="16"/>
              </w:rPr>
              <w:t>3 October 2026</w:t>
            </w:r>
          </w:p>
        </w:tc>
        <w:tc>
          <w:tcPr>
            <w:tcW w:type="dxa" w:w="3264"/>
            <w:vAlign w:val="center"/>
          </w:tcPr>
          <w:p>
            <w:r>
              <w:t>v1.5</w:t>
            </w:r>
          </w:p>
        </w:tc>
        <w:tc>
          <w:tcPr>
            <w:tcW w:type="dxa" w:w="3264"/>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r>
        <w:tc>
          <w:tcPr>
            <w:tcW w:type="dxa" w:w="3264"/>
          </w:tcPr>
          <w:p>
            <w:r>
              <w:t>3 October 2026</w:t>
            </w:r>
          </w:p>
        </w:tc>
        <w:tc>
          <w:tcPr>
            <w:tcW w:type="dxa" w:w="3264"/>
          </w:tcPr>
          <w:p>
            <w:r>
              <w:t>v1.6</w:t>
            </w:r>
          </w:p>
        </w:tc>
        <w:tc>
          <w:tcPr>
            <w:tcW w:type="dxa" w:w="3264"/>
          </w:tcPr>
          <w:p>
            <w:r>
              <w:t>Strategy model</w:t>
            </w:r>
          </w:p>
        </w:tc>
        <w:tc>
          <w:tcPr>
            <w:tcW w:type="dxa" w:w="1440"/>
          </w:tcPr>
          <w:p>
            <w:r>
              <w:t>Multi-horizon scenario strategy</w:t>
            </w:r>
          </w:p>
        </w:tc>
        <w:tc>
          <w:tcPr>
            <w:tcW w:type="dxa" w:w="1440"/>
          </w:tcPr>
          <w:p>
            <w:r>
              <w:t>Updated</w:t>
            </w:r>
          </w:p>
        </w:tc>
        <w:tc>
          <w:tcPr>
            <w:tcW w:type="dxa" w:w="1440"/>
          </w:tcPr>
          <w:p>
            <w:r>
              <w:t>Formalized Target-GW, 3-GW, 5-GW and 8-GW horizons as evaluation windows feeding one strategic decision rather than independent recommendations.</w:t>
            </w:r>
          </w:p>
        </w:tc>
      </w:tr>
      <w:tr>
        <w:tc>
          <w:tcPr>
            <w:tcW w:type="dxa" w:w="3264"/>
          </w:tcPr>
          <w:p>
            <w:r>
              <w:t>3 October 2026</w:t>
            </w:r>
          </w:p>
        </w:tc>
        <w:tc>
          <w:tcPr>
            <w:tcW w:type="dxa" w:w="3264"/>
          </w:tcPr>
          <w:p>
            <w:r>
              <w:t>v1.6</w:t>
            </w:r>
          </w:p>
        </w:tc>
        <w:tc>
          <w:tcPr>
            <w:tcW w:type="dxa" w:w="3264"/>
          </w:tcPr>
          <w:p>
            <w:r>
              <w:t>Strategy model</w:t>
            </w:r>
          </w:p>
        </w:tc>
        <w:tc>
          <w:tcPr>
            <w:tcW w:type="dxa" w:w="1440"/>
          </w:tcPr>
          <w:p>
            <w:r>
              <w:t>Scenario-based optimization</w:t>
            </w:r>
          </w:p>
        </w:tc>
        <w:tc>
          <w:tcPr>
            <w:tcW w:type="dxa" w:w="1440"/>
          </w:tcPr>
          <w:p>
            <w:r>
              <w:t>Updated</w:t>
            </w:r>
          </w:p>
        </w:tc>
        <w:tc>
          <w:tcPr>
            <w:tcW w:type="dxa" w:w="1440"/>
          </w:tcPr>
          <w:p>
            <w:r>
              <w:t>Established the strategy scenario, rather than the individual transfer, as the unit of strategic evaluation.</w:t>
            </w:r>
          </w:p>
        </w:tc>
      </w:tr>
      <w:tr>
        <w:tc>
          <w:tcPr>
            <w:tcW w:type="dxa" w:w="3264"/>
          </w:tcPr>
          <w:p>
            <w:r>
              <w:t>3 October 2026</w:t>
            </w:r>
          </w:p>
        </w:tc>
        <w:tc>
          <w:tcPr>
            <w:tcW w:type="dxa" w:w="3264"/>
          </w:tcPr>
          <w:p>
            <w:r>
              <w:t>v1.6</w:t>
            </w:r>
          </w:p>
        </w:tc>
        <w:tc>
          <w:tcPr>
            <w:tcW w:type="dxa" w:w="3264"/>
          </w:tcPr>
          <w:p>
            <w:r>
              <w:t>Strategy model</w:t>
            </w:r>
          </w:p>
        </w:tc>
        <w:tc>
          <w:tcPr>
            <w:tcW w:type="dxa" w:w="1440"/>
          </w:tcPr>
          <w:p>
            <w:r>
              <w:t>Cross-horizon reconciliation</w:t>
            </w:r>
          </w:p>
        </w:tc>
        <w:tc>
          <w:tcPr>
            <w:tcW w:type="dxa" w:w="1440"/>
          </w:tcPr>
          <w:p>
            <w:r>
              <w:t>Updated</w:t>
            </w:r>
          </w:p>
        </w:tc>
        <w:tc>
          <w:tcPr>
            <w:tcW w:type="dxa" w:w="1440"/>
          </w:tcPr>
          <w:p>
            <w:r>
              <w:t>Added requirement for the strategist to reconcile short-, medium- and long-horizon trade-offs and recommend a hybrid strategy when appropriate.</w:t>
            </w:r>
          </w:p>
        </w:tc>
      </w:tr>
      <w:tr>
        <w:tc>
          <w:tcPr>
            <w:tcW w:type="dxa" w:w="3264"/>
          </w:tcPr>
          <w:p>
            <w:r>
              <w:t>3 October 2026</w:t>
            </w:r>
          </w:p>
        </w:tc>
        <w:tc>
          <w:tcPr>
            <w:tcW w:type="dxa" w:w="3264"/>
          </w:tcPr>
          <w:p>
            <w:r>
              <w:t>v1.6</w:t>
            </w:r>
          </w:p>
        </w:tc>
        <w:tc>
          <w:tcPr>
            <w:tcW w:type="dxa" w:w="3264"/>
          </w:tcPr>
          <w:p>
            <w:r>
              <w:t>Trust and explainability</w:t>
            </w:r>
          </w:p>
        </w:tc>
        <w:tc>
          <w:tcPr>
            <w:tcW w:type="dxa" w:w="1440"/>
          </w:tcPr>
          <w:p>
            <w:r>
              <w:t>LLM responsibility boundary</w:t>
            </w:r>
          </w:p>
        </w:tc>
        <w:tc>
          <w:tcPr>
            <w:tcW w:type="dxa" w:w="1440"/>
          </w:tcPr>
          <w:p>
            <w:r>
              <w:t>Updated</w:t>
            </w:r>
          </w:p>
        </w:tc>
        <w:tc>
          <w:tcPr>
            <w:tcW w:type="dxa" w:w="1440"/>
          </w:tcPr>
          <w:p>
            <w:r>
              <w:t>Clarified that quantitative/model layers calculate verified outcomes and the LLM explains those outcomes; the LLM is not the source of projection truth.</w:t>
            </w:r>
          </w:p>
        </w:tc>
      </w:tr>
    </w:tbl>
    <w:p>
      <w:r>
        <w:br w:type="page"/>
      </w:r>
    </w:p>
    <w:p>
      <w:pPr>
        <w:pStyle w:val="Heading1"/>
      </w:pPr>
      <w:r>
        <w:t>Index</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Title</w:t>
            </w:r>
          </w:p>
        </w:tc>
        <w:tc>
          <w:tcPr>
            <w:tcW w:type="dxa" w:w="3264"/>
          </w:tcPr>
          <w:p>
            <w:r>
              <w:rPr>
                <w:b/>
              </w:rPr>
              <w:t>Page No.</w:t>
            </w:r>
          </w:p>
        </w:tc>
      </w:tr>
      <w:tr>
        <w:tc>
          <w:tcPr>
            <w:tcW w:type="dxa" w:w="3264"/>
          </w:tcPr>
          <w:p>
            <w:r>
              <w:t>1</w:t>
            </w:r>
          </w:p>
        </w:tc>
        <w:tc>
          <w:tcPr>
            <w:tcW w:type="dxa" w:w="3264"/>
          </w:tcPr>
          <w:p>
            <w:r>
              <w:t>Change Log</w:t>
            </w:r>
          </w:p>
        </w:tc>
        <w:tc>
          <w:tcPr>
            <w:tcW w:type="dxa" w:w="3264"/>
          </w:tcPr>
          <w:p>
            <w:r>
              <w:t>2</w:t>
            </w:r>
          </w:p>
        </w:tc>
      </w:tr>
      <w:tr>
        <w:tc>
          <w:tcPr>
            <w:tcW w:type="dxa" w:w="3264"/>
          </w:tcPr>
          <w:p>
            <w:r>
              <w:t>2</w:t>
            </w:r>
          </w:p>
        </w:tc>
        <w:tc>
          <w:tcPr>
            <w:tcW w:type="dxa" w:w="3264"/>
          </w:tcPr>
          <w:p>
            <w:r>
              <w:t>1. Document Purpose</w:t>
            </w:r>
          </w:p>
        </w:tc>
        <w:tc>
          <w:tcPr>
            <w:tcW w:type="dxa" w:w="3264"/>
          </w:tcPr>
          <w:p>
            <w:r>
              <w:t>4</w:t>
            </w:r>
          </w:p>
        </w:tc>
      </w:tr>
      <w:tr>
        <w:tc>
          <w:tcPr>
            <w:tcW w:type="dxa" w:w="3264"/>
          </w:tcPr>
          <w:p>
            <w:r>
              <w:t>3</w:t>
            </w:r>
          </w:p>
        </w:tc>
        <w:tc>
          <w:tcPr>
            <w:tcW w:type="dxa" w:w="3264"/>
          </w:tcPr>
          <w:p>
            <w:r>
              <w:t>2. Business Objective and North Star</w:t>
            </w:r>
          </w:p>
        </w:tc>
        <w:tc>
          <w:tcPr>
            <w:tcW w:type="dxa" w:w="3264"/>
          </w:tcPr>
          <w:p>
            <w:r>
              <w:t>5</w:t>
            </w:r>
          </w:p>
        </w:tc>
      </w:tr>
      <w:tr>
        <w:tc>
          <w:tcPr>
            <w:tcW w:type="dxa" w:w="3264"/>
          </w:tcPr>
          <w:p>
            <w:r>
              <w:t>4</w:t>
            </w:r>
          </w:p>
        </w:tc>
        <w:tc>
          <w:tcPr>
            <w:tcW w:type="dxa" w:w="3264"/>
          </w:tcPr>
          <w:p>
            <w:r>
              <w:t>3. Strategic Principles</w:t>
            </w:r>
          </w:p>
        </w:tc>
        <w:tc>
          <w:tcPr>
            <w:tcW w:type="dxa" w:w="3264"/>
          </w:tcPr>
          <w:p>
            <w:r>
              <w:t>4</w:t>
            </w:r>
          </w:p>
        </w:tc>
      </w:tr>
      <w:tr>
        <w:tc>
          <w:tcPr>
            <w:tcW w:type="dxa" w:w="3264"/>
          </w:tcPr>
          <w:p>
            <w:r>
              <w:t>5</w:t>
            </w:r>
          </w:p>
        </w:tc>
        <w:tc>
          <w:tcPr>
            <w:tcW w:type="dxa" w:w="3264"/>
          </w:tcPr>
          <w:p>
            <w:r>
              <w:t>4. User Experience and Operating Model</w:t>
            </w:r>
          </w:p>
        </w:tc>
        <w:tc>
          <w:tcPr>
            <w:tcW w:type="dxa" w:w="3264"/>
          </w:tcPr>
          <w:p>
            <w:r>
              <w:t>5</w:t>
            </w:r>
          </w:p>
        </w:tc>
      </w:tr>
      <w:tr>
        <w:tc>
          <w:tcPr>
            <w:tcW w:type="dxa" w:w="3264"/>
          </w:tcPr>
          <w:p>
            <w:r>
              <w:t>6</w:t>
            </w:r>
          </w:p>
        </w:tc>
        <w:tc>
          <w:tcPr>
            <w:tcW w:type="dxa" w:w="3264"/>
          </w:tcPr>
          <w:p>
            <w:r>
              <w:t>5. Core Strategic Capabilities</w:t>
            </w:r>
          </w:p>
        </w:tc>
        <w:tc>
          <w:tcPr>
            <w:tcW w:type="dxa" w:w="3264"/>
          </w:tcPr>
          <w:p>
            <w:r>
              <w:t>4</w:t>
            </w:r>
          </w:p>
        </w:tc>
      </w:tr>
      <w:tr>
        <w:tc>
          <w:tcPr>
            <w:tcW w:type="dxa" w:w="3264"/>
          </w:tcPr>
          <w:p>
            <w:r>
              <w:t>7</w:t>
            </w:r>
          </w:p>
        </w:tc>
        <w:tc>
          <w:tcPr>
            <w:tcW w:type="dxa" w:w="3264"/>
          </w:tcPr>
          <w:p>
            <w:r>
              <w:t>6. Mini-Leagues, Rivals and Prize Structures</w:t>
            </w:r>
          </w:p>
        </w:tc>
        <w:tc>
          <w:tcPr>
            <w:tcW w:type="dxa" w:w="3264"/>
          </w:tcPr>
          <w:p>
            <w:r>
              <w:t>6</w:t>
            </w:r>
          </w:p>
        </w:tc>
      </w:tr>
      <w:tr>
        <w:tc>
          <w:tcPr>
            <w:tcW w:type="dxa" w:w="3264"/>
          </w:tcPr>
          <w:p>
            <w:r>
              <w:t>8</w:t>
            </w:r>
          </w:p>
        </w:tc>
        <w:tc>
          <w:tcPr>
            <w:tcW w:type="dxa" w:w="3264"/>
          </w:tcPr>
          <w:p>
            <w:r>
              <w:t>7. Prediction, Fixture and Expected-Points Direction</w:t>
            </w:r>
          </w:p>
        </w:tc>
        <w:tc>
          <w:tcPr>
            <w:tcW w:type="dxa" w:w="3264"/>
          </w:tcPr>
          <w:p>
            <w:r>
              <w:t>6</w:t>
            </w:r>
          </w:p>
        </w:tc>
      </w:tr>
      <w:tr>
        <w:tc>
          <w:tcPr>
            <w:tcW w:type="dxa" w:w="3264"/>
          </w:tcPr>
          <w:p>
            <w:r>
              <w:t>9</w:t>
            </w:r>
          </w:p>
        </w:tc>
        <w:tc>
          <w:tcPr>
            <w:tcW w:type="dxa" w:w="3264"/>
          </w:tcPr>
          <w:p>
            <w:r>
              <w:t>8. Data Trust and Provenance</w:t>
            </w:r>
          </w:p>
        </w:tc>
        <w:tc>
          <w:tcPr>
            <w:tcW w:type="dxa" w:w="3264"/>
          </w:tcPr>
          <w:p>
            <w:r>
              <w:t>4</w:t>
            </w:r>
          </w:p>
        </w:tc>
      </w:tr>
      <w:tr>
        <w:tc>
          <w:tcPr>
            <w:tcW w:type="dxa" w:w="3264"/>
          </w:tcPr>
          <w:p>
            <w:r>
              <w:t>10</w:t>
            </w:r>
          </w:p>
        </w:tc>
        <w:tc>
          <w:tcPr>
            <w:tcW w:type="dxa" w:w="3264"/>
          </w:tcPr>
          <w:p>
            <w:r>
              <w:t>9. Historical Data and Source Governance</w:t>
            </w:r>
          </w:p>
        </w:tc>
        <w:tc>
          <w:tcPr>
            <w:tcW w:type="dxa" w:w="3264"/>
          </w:tcPr>
          <w:p>
            <w:r>
              <w:t>7</w:t>
            </w:r>
          </w:p>
        </w:tc>
      </w:tr>
      <w:tr>
        <w:tc>
          <w:tcPr>
            <w:tcW w:type="dxa" w:w="3264"/>
          </w:tcPr>
          <w:p>
            <w:r>
              <w:t>11</w:t>
            </w:r>
          </w:p>
        </w:tc>
        <w:tc>
          <w:tcPr>
            <w:tcW w:type="dxa" w:w="3264"/>
          </w:tcPr>
          <w:p>
            <w:r>
              <w:t>10. Learning and Evaluation</w:t>
            </w:r>
          </w:p>
        </w:tc>
        <w:tc>
          <w:tcPr>
            <w:tcW w:type="dxa" w:w="3264"/>
          </w:tcPr>
          <w:p>
            <w:r>
              <w:t>4</w:t>
            </w:r>
          </w:p>
        </w:tc>
      </w:tr>
      <w:tr>
        <w:tc>
          <w:tcPr>
            <w:tcW w:type="dxa" w:w="3264"/>
          </w:tcPr>
          <w:p>
            <w:r>
              <w:t>12</w:t>
            </w:r>
          </w:p>
        </w:tc>
        <w:tc>
          <w:tcPr>
            <w:tcW w:type="dxa" w:w="3264"/>
          </w:tcPr>
          <w:p>
            <w:r>
              <w:t>11. Cost and Deployment Constraints</w:t>
            </w:r>
          </w:p>
        </w:tc>
        <w:tc>
          <w:tcPr>
            <w:tcW w:type="dxa" w:w="3264"/>
          </w:tcPr>
          <w:p>
            <w:r>
              <w:t>8</w:t>
            </w:r>
          </w:p>
        </w:tc>
      </w:tr>
      <w:tr>
        <w:tc>
          <w:tcPr>
            <w:tcW w:type="dxa" w:w="3264"/>
          </w:tcPr>
          <w:p>
            <w:r>
              <w:t>13</w:t>
            </w:r>
          </w:p>
        </w:tc>
        <w:tc>
          <w:tcPr>
            <w:tcW w:type="dxa" w:w="3264"/>
          </w:tcPr>
          <w:p>
            <w:r>
              <w:t>12. Multi-User Direction</w:t>
            </w:r>
          </w:p>
        </w:tc>
        <w:tc>
          <w:tcPr>
            <w:tcW w:type="dxa" w:w="3264"/>
          </w:tcPr>
          <w:p>
            <w:r>
              <w:t>4</w:t>
            </w:r>
          </w:p>
        </w:tc>
      </w:tr>
      <w:tr>
        <w:tc>
          <w:tcPr>
            <w:tcW w:type="dxa" w:w="3264"/>
          </w:tcPr>
          <w:p>
            <w:r>
              <w:t>14</w:t>
            </w:r>
          </w:p>
        </w:tc>
        <w:tc>
          <w:tcPr>
            <w:tcW w:type="dxa" w:w="3264"/>
          </w:tcPr>
          <w:p>
            <w:r>
              <w:t>13. Current Development Checkpoint</w:t>
            </w:r>
          </w:p>
        </w:tc>
        <w:tc>
          <w:tcPr>
            <w:tcW w:type="dxa" w:w="3264"/>
          </w:tcPr>
          <w:p>
            <w:r>
              <w:t>9</w:t>
            </w:r>
          </w:p>
        </w:tc>
      </w:tr>
      <w:tr>
        <w:tc>
          <w:tcPr>
            <w:tcW w:type="dxa" w:w="3264"/>
          </w:tcPr>
          <w:p>
            <w:r>
              <w:t>15</w:t>
            </w:r>
          </w:p>
        </w:tc>
        <w:tc>
          <w:tcPr>
            <w:tcW w:type="dxa" w:w="3264"/>
          </w:tcPr>
          <w:p>
            <w:r>
              <w:t>13.1 Database Architecture Checkpoint</w:t>
            </w:r>
          </w:p>
        </w:tc>
        <w:tc>
          <w:tcPr>
            <w:tcW w:type="dxa" w:w="3264"/>
          </w:tcPr>
          <w:p>
            <w:r>
              <w:t>9</w:t>
            </w:r>
          </w:p>
        </w:tc>
      </w:tr>
      <w:tr>
        <w:tc>
          <w:tcPr>
            <w:tcW w:type="dxa" w:w="3264"/>
          </w:tcPr>
          <w:p>
            <w:r>
              <w:t>16</w:t>
            </w:r>
          </w:p>
        </w:tc>
        <w:tc>
          <w:tcPr>
            <w:tcW w:type="dxa" w:w="3264"/>
          </w:tcPr>
          <w:p>
            <w:r>
              <w:t>14. Development Working Agreement</w:t>
            </w:r>
          </w:p>
        </w:tc>
        <w:tc>
          <w:tcPr>
            <w:tcW w:type="dxa" w:w="3264"/>
          </w:tcPr>
          <w:p>
            <w:r>
              <w:t>9</w:t>
            </w:r>
          </w:p>
        </w:tc>
      </w:tr>
      <w:tr>
        <w:tc>
          <w:tcPr>
            <w:tcW w:type="dxa" w:w="3264"/>
          </w:tcPr>
          <w:p>
            <w:r>
              <w:t>17</w:t>
            </w:r>
          </w:p>
        </w:tc>
        <w:tc>
          <w:tcPr>
            <w:tcW w:type="dxa" w:w="3264"/>
          </w:tcPr>
          <w:p>
            <w:r>
              <w:t>15. Thread Reconciliation — v0.8</w:t>
            </w:r>
          </w:p>
        </w:tc>
        <w:tc>
          <w:tcPr>
            <w:tcW w:type="dxa" w:w="3264"/>
          </w:tcPr>
          <w:p>
            <w:r>
              <w:t>4</w:t>
            </w:r>
          </w:p>
        </w:tc>
      </w:tr>
      <w:tr>
        <w:tc>
          <w:tcPr>
            <w:tcW w:type="dxa" w:w="3264"/>
          </w:tcPr>
          <w:p>
            <w:r>
              <w:t>18</w:t>
            </w:r>
          </w:p>
        </w:tc>
        <w:tc>
          <w:tcPr>
            <w:tcW w:type="dxa" w:w="3264"/>
          </w:tcPr>
          <w:p>
            <w:r>
              <w:t>16. Roadmap</w:t>
            </w:r>
          </w:p>
        </w:tc>
        <w:tc>
          <w:tcPr>
            <w:tcW w:type="dxa" w:w="3264"/>
          </w:tcPr>
          <w:p>
            <w:r>
              <w:t>4</w:t>
            </w:r>
          </w:p>
        </w:tc>
      </w:tr>
      <w:tr>
        <w:tc>
          <w:tcPr>
            <w:tcW w:type="dxa" w:w="3264"/>
          </w:tcPr>
          <w:p>
            <w:r>
              <w:t>19</w:t>
            </w:r>
          </w:p>
        </w:tc>
        <w:tc>
          <w:tcPr>
            <w:tcW w:type="dxa" w:w="3264"/>
          </w:tcPr>
          <w:p>
            <w:r>
              <w:t>16.1 Persistence and Database Foundation</w:t>
            </w:r>
          </w:p>
        </w:tc>
        <w:tc>
          <w:tcPr>
            <w:tcW w:type="dxa" w:w="3264"/>
          </w:tcPr>
          <w:p>
            <w:r>
              <w:t>10</w:t>
            </w:r>
          </w:p>
        </w:tc>
      </w:tr>
      <w:tr>
        <w:tc>
          <w:tcPr>
            <w:tcW w:type="dxa" w:w="3264"/>
          </w:tcPr>
          <w:p>
            <w:r>
              <w:t>20</w:t>
            </w:r>
          </w:p>
        </w:tc>
        <w:tc>
          <w:tcPr>
            <w:tcW w:type="dxa" w:w="3264"/>
          </w:tcPr>
          <w:p>
            <w:r>
              <w:t>Documentation Governance and Change Control</w:t>
            </w:r>
          </w:p>
        </w:tc>
        <w:tc>
          <w:tcPr>
            <w:tcW w:type="dxa" w:w="3264"/>
          </w:tcPr>
          <w:p>
            <w:r>
              <w:t>10</w:t>
            </w:r>
          </w:p>
        </w:tc>
      </w:tr>
      <w:tr>
        <w:tc>
          <w:tcPr>
            <w:tcW w:type="dxa" w:w="3264"/>
          </w:tcPr>
          <w:p>
            <w:r>
              <w:t>21</w:t>
            </w:r>
          </w:p>
        </w:tc>
        <w:tc>
          <w:tcPr>
            <w:tcW w:type="dxa" w:w="3264"/>
          </w:tcPr>
          <w:p>
            <w:r>
              <w:t>17. Post-83f3069 Implementation Checkpoint</w:t>
            </w:r>
          </w:p>
        </w:tc>
        <w:tc>
          <w:tcPr>
            <w:tcW w:type="dxa" w:w="3264"/>
          </w:tcPr>
          <w:p>
            <w:r>
              <w:t>12</w:t>
            </w:r>
          </w:p>
        </w:tc>
      </w:tr>
    </w:tbl>
    <w:p/>
    <w:p/>
    <w:p/>
    <w:p/>
    <w:p/>
    <w:p/>
    <w:p/>
    <w:p>
      <w:r>
        <w:br w:type="page"/>
      </w:r>
    </w:p>
    <w:p>
      <w:pPr>
        <w:pStyle w:val="Heading1"/>
      </w:pPr>
      <w:r>
        <w:t>17. Post-83f3069 Implementation Checkpoint — Persistence Reliability and Production Integration</w:t>
      </w:r>
    </w:p>
    <w:p>
      <w:pPr>
        <w:spacing w:after="120"/>
      </w:pPr>
      <w:r>
        <w:t>Commit 83f3069 was the last documentation checkpoint. The implementation delta from that checkpoint through ce1c62c contains three persistence-refresh hardening stages followed by the production projection and strategy-orchestrator bridge.</w:t>
      </w:r>
    </w:p>
    <w:p>
      <w:pPr>
        <w:pStyle w:val="Heading2"/>
      </w:pPr>
      <w:r>
        <w:t>17.1 Refresh reliability and data trust</w:t>
      </w:r>
    </w:p>
    <w:p>
      <w:pPr>
        <w:spacing w:after="120"/>
      </w:pPr>
      <w:r>
        <w:t>The business requirement is not merely to persist data, but to ensure a refresh cannot leave the strategist in a partially refreshed canonical state.</w:t>
      </w:r>
    </w:p>
    <w:p>
      <w:pPr>
        <w:pStyle w:val="ListBullet"/>
      </w:pPr>
      <w:r>
        <w:t>Batch 17A (502809e) makes global refresh atomic for canonical data writes.</w:t>
      </w:r>
    </w:p>
    <w:p>
      <w:pPr>
        <w:pStyle w:val="ListBullet"/>
      </w:pPr>
      <w:r>
        <w:t>Ingestion execution remains auditable even when the canonical write transaction fails.</w:t>
      </w:r>
    </w:p>
    <w:p>
      <w:pPr>
        <w:pStyle w:val="ListBullet"/>
      </w:pPr>
      <w:r>
        <w:t>Batch 17B (b4c20b1) defines the user-visible trust state after a failed refresh: the failed attempt is retained and freshness becomes STALE.</w:t>
      </w:r>
    </w:p>
    <w:p>
      <w:pPr>
        <w:pStyle w:val="ListBullet"/>
      </w:pPr>
      <w:r>
        <w:t>Batch 17C (fbacb99) establishes repeat-refresh idempotency so the same source state can be refreshed safely without duplicate current/master records.</w:t>
      </w:r>
    </w:p>
    <w:p>
      <w:pPr>
        <w:pStyle w:val="Heading2"/>
      </w:pPr>
      <w:r>
        <w:t>17.2 Production projection capability</w:t>
      </w:r>
    </w:p>
    <w:p>
      <w:pPr>
        <w:spacing w:after="120"/>
      </w:pPr>
      <w:r>
        <w:t>The strategist now has a production-oriented projection contract rather than relying on an isolated modelling component.</w:t>
      </w:r>
    </w:p>
    <w:p>
      <w:pPr>
        <w:pStyle w:val="ListBullet"/>
      </w:pPr>
      <w:r>
        <w:t>Batch 18A (0905d96) produces a typed ProductionProjectionResult for a target Gameweek and explicit future horizon.</w:t>
      </w:r>
    </w:p>
    <w:p>
      <w:pPr>
        <w:pStyle w:val="ListBullet"/>
      </w:pPr>
      <w:r>
        <w:t>Completed fixtures before the target are used for point-in-time team state; future/uncompleted fixtures are used for the forecast horizon.</w:t>
      </w:r>
    </w:p>
    <w:p>
      <w:pPr>
        <w:pStyle w:val="ListBullet"/>
      </w:pPr>
      <w:r>
        <w:t>Player fixture projections are aggregated across the horizon, allowing multiple fixtures in a Gameweek to contribute.</w:t>
      </w:r>
    </w:p>
    <w:p>
      <w:pPr>
        <w:pStyle w:val="ListBullet"/>
      </w:pPr>
      <w:r>
        <w:t>Projection completeness and warnings are explicit and must not be hidden from downstream strategy.</w:t>
      </w:r>
    </w:p>
    <w:p>
      <w:pPr>
        <w:pStyle w:val="Heading2"/>
      </w:pPr>
      <w:r>
        <w:t>17.3 Strategy integration</w:t>
      </w:r>
    </w:p>
    <w:p>
      <w:pPr>
        <w:spacing w:after="120"/>
      </w:pPr>
      <w:r>
        <w:t>Batch 18B (ce1c62c) connects the production projection contract to the existing strategy orchestration layer without breaking the legacy API.</w:t>
      </w:r>
    </w:p>
    <w:p>
      <w:pPr>
        <w:pStyle w:val="ListBullet"/>
      </w:pPr>
      <w:r>
        <w:t>The production adapter consumes authoritative ProductionProjectionResult projections.</w:t>
      </w:r>
    </w:p>
    <w:p>
      <w:pPr>
        <w:pStyle w:val="ListBullet"/>
      </w:pPr>
      <w:r>
        <w:t>Target/horizon alignment is validated at the boundary.</w:t>
      </w:r>
    </w:p>
    <w:p>
      <w:pPr>
        <w:pStyle w:val="ListBullet"/>
      </w:pPr>
      <w:r>
        <w:t>Projection warnings and completeness propagate into StrategicDecision.</w:t>
      </w:r>
    </w:p>
    <w:p>
      <w:pPr>
        <w:pStyle w:val="ListBullet"/>
      </w:pPr>
      <w:r>
        <w:t>Legacy direct orchestration remains versioned as strategy_orchestrator_v1_2; the production-integrated path is strategy_orchestrator_v1_3.</w:t>
      </w:r>
    </w:p>
    <w:p>
      <w:pPr>
        <w:pStyle w:val="ListBullet"/>
      </w:pPr>
      <w:r>
        <w:t>app.py remains unchanged; application wiring and end-to-end GW6 delivery remain subsequent work.</w:t>
      </w:r>
    </w:p>
    <w:p>
      <w:pPr>
        <w:pStyle w:val="Heading2"/>
      </w:pPr>
      <w:r>
        <w:t>17.4 Checkpoint status</w:t>
      </w:r>
    </w:p>
    <w:p>
      <w:pPr>
        <w:spacing w:after="120"/>
      </w:pPr>
      <w:r>
        <w:t>The persistence and production-projection foundations are implemented and tested, but this checkpoint does not claim end-to-end production readiness.</w:t>
      </w:r>
    </w:p>
    <w:p>
      <w:pPr>
        <w:pStyle w:val="ListBullet"/>
      </w:pPr>
      <w:r>
        <w:t>18A focused tests: 6 passed.</w:t>
      </w:r>
    </w:p>
    <w:p>
      <w:pPr>
        <w:pStyle w:val="ListBullet"/>
      </w:pPr>
      <w:r>
        <w:t>18B focused tests: 16 passed.</w:t>
      </w:r>
    </w:p>
    <w:p>
      <w:pPr>
        <w:pStyle w:val="ListBullet"/>
      </w:pPr>
      <w:r>
        <w:t>Full repository suite after 18B: 282 passed locally in the development environment.</w:t>
      </w:r>
    </w:p>
    <w:p>
      <w:pPr>
        <w:pStyle w:val="ListBullet"/>
      </w:pPr>
      <w:r>
        <w:t>Next production work remains end-to-end strategist pipeline wiring, live manager/rival/news integration and final GW6 validation.</w:t>
      </w:r>
    </w:p>
    <w:p>
      <w:r>
        <w:br w:type="page"/>
      </w:r>
    </w:p>
    <w:p>
      <w:pPr>
        <w:pStyle w:val="Heading1"/>
      </w:pPr>
      <w:r>
        <w:t>Business Requirements — Full Project Evolution Reconciliation</w:t>
      </w:r>
    </w:p>
    <w:p>
      <w:r>
        <w:t>The BRD is the business/product view. The appendix records implementation history only where it changes business scope, trust, operating model or roadmap; detailed code mechanics remain in the Technical Specification.</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sz w:val="16"/>
              </w:rPr>
              <w:t>Batch</w:t>
            </w:r>
          </w:p>
        </w:tc>
        <w:tc>
          <w:tcPr>
            <w:tcW w:type="dxa" w:w="1632"/>
            <w:vAlign w:val="center"/>
          </w:tcPr>
          <w:p>
            <w:r/>
            <w:r>
              <w:rPr>
                <w:b/>
                <w:sz w:val="16"/>
              </w:rPr>
              <w:t>Implementation focus</w:t>
            </w:r>
          </w:p>
        </w:tc>
        <w:tc>
          <w:tcPr>
            <w:tcW w:type="dxa" w:w="1632"/>
            <w:vAlign w:val="center"/>
          </w:tcPr>
          <w:p>
            <w:r/>
            <w:r>
              <w:rPr>
                <w:b/>
                <w:sz w:val="16"/>
              </w:rPr>
              <w:t>Material change / scope</w:t>
            </w:r>
          </w:p>
        </w:tc>
        <w:tc>
          <w:tcPr>
            <w:tcW w:type="dxa" w:w="1632"/>
            <w:vAlign w:val="center"/>
          </w:tcPr>
          <w:p>
            <w:r/>
            <w:r>
              <w:rPr>
                <w:b/>
                <w:sz w:val="16"/>
              </w:rPr>
              <w:t>Evidence / validation</w:t>
            </w:r>
          </w:p>
        </w:tc>
        <w:tc>
          <w:tcPr>
            <w:tcW w:type="dxa" w:w="1632"/>
            <w:vAlign w:val="center"/>
          </w:tcPr>
          <w:p>
            <w:r/>
            <w:r>
              <w:rPr>
                <w:b/>
                <w:sz w:val="16"/>
              </w:rPr>
              <w:t>Documentation impact</w:t>
            </w:r>
          </w:p>
        </w:tc>
        <w:tc>
          <w:tcPr>
            <w:tcW w:type="dxa" w:w="1632"/>
            <w:vAlign w:val="center"/>
          </w:tcPr>
          <w:p>
            <w:r/>
            <w:r>
              <w:rPr>
                <w:b/>
                <w:sz w:val="16"/>
              </w:rPr>
              <w:t>Architecture implication</w:t>
            </w:r>
          </w:p>
        </w:tc>
      </w:tr>
      <w:tr>
        <w:tc>
          <w:tcPr>
            <w:tcW w:type="dxa" w:w="1632"/>
            <w:vAlign w:val="center"/>
          </w:tcPr>
          <w:p>
            <w:r/>
            <w:r>
              <w:rPr>
                <w:b w:val="0"/>
                <w:sz w:val="16"/>
              </w:rPr>
              <w:t>1</w:t>
            </w:r>
          </w:p>
        </w:tc>
        <w:tc>
          <w:tcPr>
            <w:tcW w:type="dxa" w:w="1632"/>
            <w:vAlign w:val="center"/>
          </w:tcPr>
          <w:p>
            <w:r/>
            <w:r>
              <w:rPr>
                <w:b w:val="0"/>
                <w:sz w:val="16"/>
              </w:rPr>
              <w:t>SQLite schema foundation</w:t>
            </w:r>
          </w:p>
        </w:tc>
        <w:tc>
          <w:tcPr>
            <w:tcW w:type="dxa" w:w="1632"/>
            <w:vAlign w:val="center"/>
          </w:tcPr>
          <w:p>
            <w:r/>
            <w:r>
              <w:rPr>
                <w:b w:val="0"/>
                <w:sz w:val="16"/>
              </w:rPr>
              <w:t>Canonical SQLite schema/infrastructure; FK/index/version/idempotent initialization; JSON/refresh behavior preserved.</w:t>
            </w:r>
          </w:p>
        </w:tc>
        <w:tc>
          <w:tcPr>
            <w:tcW w:type="dxa" w:w="1632"/>
            <w:vAlign w:val="center"/>
          </w:tcPr>
          <w:p>
            <w:r/>
            <w:r>
              <w:rPr>
                <w:b w:val="0"/>
                <w:sz w:val="16"/>
              </w:rPr>
              <w:t>“Add SQLite schema foundation”; `db/schema.sql`, `sqlite_db.py`, `test_sqlite_schema.py`; 5 focused SQLite tests; 21 regression tests; environment-limited run reported 112 passed / 24 errors.</w:t>
            </w:r>
          </w:p>
        </w:tc>
        <w:tc>
          <w:tcPr>
            <w:tcW w:type="dxa" w:w="1632"/>
            <w:vAlign w:val="center"/>
          </w:tcPr>
          <w:p>
            <w:r/>
            <w:r>
              <w:rPr>
                <w:b w:val="0"/>
                <w:sz w:val="16"/>
              </w:rPr>
              <w:t>Persistence foundation</w:t>
            </w:r>
          </w:p>
        </w:tc>
        <w:tc>
          <w:tcPr>
            <w:tcW w:type="dxa" w:w="1632"/>
            <w:vAlign w:val="center"/>
          </w:tcPr>
          <w:p>
            <w:r/>
            <w:r>
              <w:rPr>
                <w:b w:val="0"/>
                <w:sz w:val="16"/>
              </w:rPr>
              <w:t>SQLite becomes the durable target behind abstraction; schema precedes integration.</w:t>
            </w:r>
          </w:p>
        </w:tc>
      </w:tr>
      <w:tr>
        <w:tc>
          <w:tcPr>
            <w:tcW w:type="dxa" w:w="1632"/>
            <w:vAlign w:val="center"/>
          </w:tcPr>
          <w:p>
            <w:r/>
            <w:r>
              <w:rPr>
                <w:b w:val="0"/>
                <w:sz w:val="16"/>
              </w:rPr>
              <w:t>2</w:t>
            </w:r>
          </w:p>
        </w:tc>
        <w:tc>
          <w:tcPr>
            <w:tcW w:type="dxa" w:w="1632"/>
            <w:vAlign w:val="center"/>
          </w:tcPr>
          <w:p>
            <w:r/>
            <w:r>
              <w:rPr>
                <w:b w:val="0"/>
                <w:sz w:val="16"/>
              </w:rPr>
              <w:t>SQLite repository for global FPL data</w:t>
            </w:r>
          </w:p>
        </w:tc>
        <w:tc>
          <w:tcPr>
            <w:tcW w:type="dxa" w:w="1632"/>
            <w:vAlign w:val="center"/>
          </w:tcPr>
          <w:p>
            <w:r/>
            <w:r>
              <w:rPr>
                <w:b w:val="0"/>
                <w:sz w:val="16"/>
              </w:rPr>
              <w:t>Repository contract plus SQLite implementation for ingestion runs, seasons/gameweeks, teams/snapshots, players/snapshots, fixtures and current player-GW stats.</w:t>
            </w:r>
          </w:p>
        </w:tc>
        <w:tc>
          <w:tcPr>
            <w:tcW w:type="dxa" w:w="1632"/>
            <w:vAlign w:val="center"/>
          </w:tcPr>
          <w:p>
            <w:r/>
            <w:r>
              <w:rPr>
                <w:b w:val="0"/>
                <w:sz w:val="16"/>
              </w:rPr>
              <w:t>`5ebd112` — “Extend SQLite repository for global FPL data”; 26 repository tests; full suite 162.</w:t>
            </w:r>
          </w:p>
        </w:tc>
        <w:tc>
          <w:tcPr>
            <w:tcW w:type="dxa" w:w="1632"/>
            <w:vAlign w:val="center"/>
          </w:tcPr>
          <w:p>
            <w:r/>
            <w:r>
              <w:rPr>
                <w:b w:val="0"/>
                <w:sz w:val="16"/>
              </w:rPr>
              <w:t>Persistence abstraction</w:t>
            </w:r>
          </w:p>
        </w:tc>
        <w:tc>
          <w:tcPr>
            <w:tcW w:type="dxa" w:w="1632"/>
            <w:vAlign w:val="center"/>
          </w:tcPr>
          <w:p>
            <w:r/>
            <w:r>
              <w:rPr>
                <w:b w:val="0"/>
                <w:sz w:val="16"/>
              </w:rPr>
              <w:t>Business logic writes through repository; no direct SQL in strategy/business layers.</w:t>
            </w:r>
          </w:p>
        </w:tc>
      </w:tr>
      <w:tr>
        <w:tc>
          <w:tcPr>
            <w:tcW w:type="dxa" w:w="1632"/>
            <w:vAlign w:val="center"/>
          </w:tcPr>
          <w:p>
            <w:r/>
            <w:r>
              <w:rPr>
                <w:b w:val="0"/>
                <w:sz w:val="16"/>
              </w:rPr>
              <w:t>3</w:t>
            </w:r>
          </w:p>
        </w:tc>
        <w:tc>
          <w:tcPr>
            <w:tcW w:type="dxa" w:w="1632"/>
            <w:vAlign w:val="center"/>
          </w:tcPr>
          <w:p>
            <w:r/>
            <w:r>
              <w:rPr>
                <w:b w:val="0"/>
                <w:sz w:val="16"/>
              </w:rPr>
              <w:t>Global FPL refresh → SQLite</w:t>
            </w:r>
          </w:p>
        </w:tc>
        <w:tc>
          <w:tcPr>
            <w:tcW w:type="dxa" w:w="1632"/>
            <w:vAlign w:val="center"/>
          </w:tcPr>
          <w:p>
            <w:r/>
            <w:r>
              <w:rPr>
                <w:b w:val="0"/>
                <w:sz w:val="16"/>
              </w:rPr>
              <w:t>Connected official FPL global refresh to FPLDataSource → FPLRefreshManager → Repository → SQLiteRepository; normalized bootstrap/fixtures into canonical tables.</w:t>
            </w:r>
          </w:p>
        </w:tc>
        <w:tc>
          <w:tcPr>
            <w:tcW w:type="dxa" w:w="1632"/>
            <w:vAlign w:val="center"/>
          </w:tcPr>
          <w:p>
            <w:r/>
            <w:r>
              <w:rPr>
                <w:b w:val="0"/>
                <w:sz w:val="16"/>
              </w:rPr>
              <w:t>`93e2d3e` — “Connect global refresh to SQLite repository”; 10 targeted; full suite 169.</w:t>
            </w:r>
          </w:p>
        </w:tc>
        <w:tc>
          <w:tcPr>
            <w:tcW w:type="dxa" w:w="1632"/>
            <w:vAlign w:val="center"/>
          </w:tcPr>
          <w:p>
            <w:r/>
            <w:r>
              <w:rPr>
                <w:b w:val="0"/>
                <w:sz w:val="16"/>
              </w:rPr>
              <w:t>Refresh architecture</w:t>
            </w:r>
          </w:p>
        </w:tc>
        <w:tc>
          <w:tcPr>
            <w:tcW w:type="dxa" w:w="1632"/>
            <w:vAlign w:val="center"/>
          </w:tcPr>
          <w:p>
            <w:r/>
            <w:r>
              <w:rPr>
                <w:b w:val="0"/>
                <w:sz w:val="16"/>
              </w:rPr>
              <w:t>Refresh became the controlled ingestion path into canonical SQLite state.</w:t>
            </w:r>
          </w:p>
        </w:tc>
      </w:tr>
      <w:tr>
        <w:tc>
          <w:tcPr>
            <w:tcW w:type="dxa" w:w="1632"/>
            <w:vAlign w:val="center"/>
          </w:tcPr>
          <w:p>
            <w:r/>
            <w:r>
              <w:rPr>
                <w:b w:val="0"/>
                <w:sz w:val="16"/>
              </w:rPr>
              <w:t>4</w:t>
            </w:r>
          </w:p>
        </w:tc>
        <w:tc>
          <w:tcPr>
            <w:tcW w:type="dxa" w:w="1632"/>
            <w:vAlign w:val="center"/>
          </w:tcPr>
          <w:p>
            <w:r/>
            <w:r>
              <w:rPr>
                <w:b w:val="0"/>
                <w:sz w:val="16"/>
              </w:rPr>
              <w:t>Manager and league source support</w:t>
            </w:r>
          </w:p>
        </w:tc>
        <w:tc>
          <w:tcPr>
            <w:tcW w:type="dxa" w:w="1632"/>
            <w:vAlign w:val="center"/>
          </w:tcPr>
          <w:p>
            <w:r/>
            <w:r>
              <w:rPr>
                <w:b w:val="0"/>
                <w:sz w:val="16"/>
              </w:rPr>
              <w:t>Added manager profile/transfers and classic-league standings retrieval; no schema expansion.</w:t>
            </w:r>
          </w:p>
        </w:tc>
        <w:tc>
          <w:tcPr>
            <w:tcW w:type="dxa" w:w="1632"/>
            <w:vAlign w:val="center"/>
          </w:tcPr>
          <w:p>
            <w:r/>
            <w:r>
              <w:rPr>
                <w:b w:val="0"/>
                <w:sz w:val="16"/>
              </w:rPr>
              <w:t>`b435eaf` — “Add manager and league data source support”; 28 focused; project total 171.</w:t>
            </w:r>
          </w:p>
        </w:tc>
        <w:tc>
          <w:tcPr>
            <w:tcW w:type="dxa" w:w="1632"/>
            <w:vAlign w:val="center"/>
          </w:tcPr>
          <w:p>
            <w:r/>
            <w:r>
              <w:rPr>
                <w:b w:val="0"/>
                <w:sz w:val="16"/>
              </w:rPr>
              <w:t>Data-source architecture</w:t>
            </w:r>
          </w:p>
        </w:tc>
        <w:tc>
          <w:tcPr>
            <w:tcW w:type="dxa" w:w="1632"/>
            <w:vAlign w:val="center"/>
          </w:tcPr>
          <w:p>
            <w:r/>
            <w:r>
              <w:rPr>
                <w:b w:val="0"/>
                <w:sz w:val="16"/>
              </w:rPr>
              <w:t>Manager/league retrieval is separated from persistence and schema.</w:t>
            </w:r>
          </w:p>
        </w:tc>
      </w:tr>
      <w:tr>
        <w:tc>
          <w:tcPr>
            <w:tcW w:type="dxa" w:w="1632"/>
            <w:vAlign w:val="center"/>
          </w:tcPr>
          <w:p>
            <w:r/>
            <w:r>
              <w:rPr>
                <w:b w:val="0"/>
                <w:sz w:val="16"/>
              </w:rPr>
              <w:t>5</w:t>
            </w:r>
          </w:p>
        </w:tc>
        <w:tc>
          <w:tcPr>
            <w:tcW w:type="dxa" w:w="1632"/>
            <w:vAlign w:val="center"/>
          </w:tcPr>
          <w:p>
            <w:r/>
            <w:r>
              <w:rPr>
                <w:b w:val="0"/>
                <w:sz w:val="16"/>
              </w:rPr>
              <w:t>Manager state persistence</w:t>
            </w:r>
          </w:p>
        </w:tc>
        <w:tc>
          <w:tcPr>
            <w:tcW w:type="dxa" w:w="1632"/>
            <w:vAlign w:val="center"/>
          </w:tcPr>
          <w:p>
            <w:r/>
            <w:r>
              <w:rPr>
                <w:b w:val="0"/>
                <w:sz w:val="16"/>
              </w:rPr>
              <w:t>Persisted users/managers, manager GW state, picks, transfers and chips through SQLite repository.</w:t>
            </w:r>
          </w:p>
        </w:tc>
        <w:tc>
          <w:tcPr>
            <w:tcW w:type="dxa" w:w="1632"/>
            <w:vAlign w:val="center"/>
          </w:tcPr>
          <w:p>
            <w:r/>
            <w:r>
              <w:rPr>
                <w:b w:val="0"/>
                <w:sz w:val="16"/>
              </w:rPr>
              <w:t>`22e263f` — manager state persistence; project total 179.</w:t>
            </w:r>
          </w:p>
        </w:tc>
        <w:tc>
          <w:tcPr>
            <w:tcW w:type="dxa" w:w="1632"/>
            <w:vAlign w:val="center"/>
          </w:tcPr>
          <w:p>
            <w:r/>
            <w:r>
              <w:rPr>
                <w:b w:val="0"/>
                <w:sz w:val="16"/>
              </w:rPr>
              <w:t>Manager state</w:t>
            </w:r>
          </w:p>
        </w:tc>
        <w:tc>
          <w:tcPr>
            <w:tcW w:type="dxa" w:w="1632"/>
            <w:vAlign w:val="center"/>
          </w:tcPr>
          <w:p>
            <w:r/>
            <w:r>
              <w:rPr>
                <w:b w:val="0"/>
                <w:sz w:val="16"/>
              </w:rPr>
              <w:t>Authoritative manager state is persisted separately from strategic memory.</w:t>
            </w:r>
          </w:p>
        </w:tc>
      </w:tr>
      <w:tr>
        <w:tc>
          <w:tcPr>
            <w:tcW w:type="dxa" w:w="1632"/>
            <w:vAlign w:val="center"/>
          </w:tcPr>
          <w:p>
            <w:r/>
            <w:r>
              <w:rPr>
                <w:b w:val="0"/>
                <w:sz w:val="16"/>
              </w:rPr>
              <w:t>6</w:t>
            </w:r>
          </w:p>
        </w:tc>
        <w:tc>
          <w:tcPr>
            <w:tcW w:type="dxa" w:w="1632"/>
            <w:vAlign w:val="center"/>
          </w:tcPr>
          <w:p>
            <w:r/>
            <w:r>
              <w:rPr>
                <w:b w:val="0"/>
                <w:sz w:val="16"/>
              </w:rPr>
              <w:t>Multi-league and rival persistence</w:t>
            </w:r>
          </w:p>
        </w:tc>
        <w:tc>
          <w:tcPr>
            <w:tcW w:type="dxa" w:w="1632"/>
            <w:vAlign w:val="center"/>
          </w:tcPr>
          <w:p>
            <w:r/>
            <w:r>
              <w:rPr>
                <w:b w:val="0"/>
                <w:sz w:val="16"/>
              </w:rPr>
              <w:t>Added leagues, many-to-many league membership, league standings by league/manager/GW, and rival squad snapshots; supports overlapping memberships and paginated standings.</w:t>
            </w:r>
          </w:p>
        </w:tc>
        <w:tc>
          <w:tcPr>
            <w:tcW w:type="dxa" w:w="1632"/>
            <w:vAlign w:val="center"/>
          </w:tcPr>
          <w:p>
            <w:r/>
            <w:r>
              <w:rPr>
                <w:b w:val="0"/>
                <w:sz w:val="16"/>
              </w:rPr>
              <w:t>`60b381f` — “Add multi-league and rival persistence”; 48 focused; full suite 181.</w:t>
            </w:r>
          </w:p>
        </w:tc>
        <w:tc>
          <w:tcPr>
            <w:tcW w:type="dxa" w:w="1632"/>
            <w:vAlign w:val="center"/>
          </w:tcPr>
          <w:p>
            <w:r/>
            <w:r>
              <w:rPr>
                <w:b w:val="0"/>
                <w:sz w:val="16"/>
              </w:rPr>
              <w:t>League/rival architecture</w:t>
            </w:r>
          </w:p>
        </w:tc>
        <w:tc>
          <w:tcPr>
            <w:tcW w:type="dxa" w:w="1632"/>
            <w:vAlign w:val="center"/>
          </w:tcPr>
          <w:p>
            <w:r/>
            <w:r>
              <w:rPr>
                <w:b w:val="0"/>
                <w:sz w:val="16"/>
              </w:rPr>
              <w:t>One universal team optimizer; leagues/rivals are contextual inputs, never separate team optimizers.</w:t>
            </w:r>
          </w:p>
        </w:tc>
      </w:tr>
      <w:tr>
        <w:tc>
          <w:tcPr>
            <w:tcW w:type="dxa" w:w="1632"/>
            <w:vAlign w:val="center"/>
          </w:tcPr>
          <w:p>
            <w:r/>
            <w:r>
              <w:rPr>
                <w:b w:val="0"/>
                <w:sz w:val="16"/>
              </w:rPr>
              <w:t>7</w:t>
            </w:r>
          </w:p>
        </w:tc>
        <w:tc>
          <w:tcPr>
            <w:tcW w:type="dxa" w:w="1632"/>
            <w:vAlign w:val="center"/>
          </w:tcPr>
          <w:p>
            <w:r/>
            <w:r>
              <w:rPr>
                <w:b w:val="0"/>
                <w:sz w:val="16"/>
              </w:rPr>
              <w:t>Freshness and refresh orchestration</w:t>
            </w:r>
          </w:p>
        </w:tc>
        <w:tc>
          <w:tcPr>
            <w:tcW w:type="dxa" w:w="1632"/>
            <w:vAlign w:val="center"/>
          </w:tcPr>
          <w:p>
            <w:r/>
            <w:r>
              <w:rPr>
                <w:b w:val="0"/>
                <w:sz w:val="16"/>
              </w:rPr>
              <w:t>Persisted dataset freshness for global, manager and league data; refresh-if-needed skips fresh data, refreshes stale/missing data, and preserves prior successful state on failure.</w:t>
            </w:r>
          </w:p>
        </w:tc>
        <w:tc>
          <w:tcPr>
            <w:tcW w:type="dxa" w:w="1632"/>
            <w:vAlign w:val="center"/>
          </w:tcPr>
          <w:p>
            <w:r/>
            <w:r>
              <w:rPr>
                <w:b w:val="0"/>
                <w:sz w:val="16"/>
              </w:rPr>
              <w:t>55 focused + 69 regression tests during development; user-local full suite 187.</w:t>
            </w:r>
          </w:p>
        </w:tc>
        <w:tc>
          <w:tcPr>
            <w:tcW w:type="dxa" w:w="1632"/>
            <w:vAlign w:val="center"/>
          </w:tcPr>
          <w:p>
            <w:r/>
            <w:r>
              <w:rPr>
                <w:b w:val="0"/>
                <w:sz w:val="16"/>
              </w:rPr>
              <w:t>Operational architecture</w:t>
            </w:r>
          </w:p>
        </w:tc>
        <w:tc>
          <w:tcPr>
            <w:tcW w:type="dxa" w:w="1632"/>
            <w:vAlign w:val="center"/>
          </w:tcPr>
          <w:p>
            <w:r/>
            <w:r>
              <w:rPr>
                <w:b w:val="0"/>
                <w:sz w:val="16"/>
              </w:rPr>
              <w:t>Freshness policy decides usability; refresh manager performs retrieval; prompt ≠ data refresh.</w:t>
            </w:r>
          </w:p>
        </w:tc>
      </w:tr>
      <w:tr>
        <w:tc>
          <w:tcPr>
            <w:tcW w:type="dxa" w:w="1632"/>
            <w:vAlign w:val="center"/>
          </w:tcPr>
          <w:p>
            <w:r/>
            <w:r>
              <w:rPr>
                <w:b w:val="0"/>
                <w:sz w:val="16"/>
              </w:rPr>
              <w:t>8</w:t>
            </w:r>
          </w:p>
        </w:tc>
        <w:tc>
          <w:tcPr>
            <w:tcW w:type="dxa" w:w="1632"/>
            <w:vAlign w:val="center"/>
          </w:tcPr>
          <w:p>
            <w:r/>
            <w:r>
              <w:rPr>
                <w:b w:val="0"/>
                <w:sz w:val="16"/>
              </w:rPr>
              <w:t>Fixture-level player expected points</w:t>
            </w:r>
          </w:p>
        </w:tc>
        <w:tc>
          <w:tcPr>
            <w:tcW w:type="dxa" w:w="1632"/>
            <w:vAlign w:val="center"/>
          </w:tcPr>
          <w:p>
            <w:r/>
            <w:r>
              <w:rPr>
                <w:b w:val="0"/>
                <w:sz w:val="16"/>
              </w:rPr>
              <w:t>Added player fixture model bridging team xG → player xG/xA → clean sheets → bonus → expected points; explicit incomplete/NO-DATA behavior.</w:t>
            </w:r>
          </w:p>
        </w:tc>
        <w:tc>
          <w:tcPr>
            <w:tcW w:type="dxa" w:w="1632"/>
            <w:vAlign w:val="center"/>
          </w:tcPr>
          <w:p>
            <w:r/>
            <w:r>
              <w:rPr>
                <w:b w:val="0"/>
                <w:sz w:val="16"/>
              </w:rPr>
              <w:t>`c0ab52f` — “Add fixture-level player expected points”; 26 focused; full suite 197.</w:t>
            </w:r>
          </w:p>
        </w:tc>
        <w:tc>
          <w:tcPr>
            <w:tcW w:type="dxa" w:w="1632"/>
            <w:vAlign w:val="center"/>
          </w:tcPr>
          <w:p>
            <w:r/>
            <w:r>
              <w:rPr>
                <w:b w:val="0"/>
                <w:sz w:val="16"/>
              </w:rPr>
              <w:t>Prediction architecture</w:t>
            </w:r>
          </w:p>
        </w:tc>
        <w:tc>
          <w:tcPr>
            <w:tcW w:type="dxa" w:w="1632"/>
            <w:vAlign w:val="center"/>
          </w:tcPr>
          <w:p>
            <w:r/>
            <w:r>
              <w:rPr>
                <w:b w:val="0"/>
                <w:sz w:val="16"/>
              </w:rPr>
              <w:t>Fixture xP is an adapter/model bridge; no invented missing inputs; Historical Prior remains diagnostic-only.</w:t>
            </w:r>
          </w:p>
        </w:tc>
      </w:tr>
      <w:tr>
        <w:tc>
          <w:tcPr>
            <w:tcW w:type="dxa" w:w="1632"/>
            <w:vAlign w:val="center"/>
          </w:tcPr>
          <w:p>
            <w:r/>
            <w:r>
              <w:rPr>
                <w:b w:val="0"/>
                <w:sz w:val="16"/>
              </w:rPr>
              <w:t>9</w:t>
            </w:r>
          </w:p>
        </w:tc>
        <w:tc>
          <w:tcPr>
            <w:tcW w:type="dxa" w:w="1632"/>
            <w:vAlign w:val="center"/>
          </w:tcPr>
          <w:p>
            <w:r/>
            <w:r>
              <w:rPr>
                <w:b w:val="0"/>
                <w:sz w:val="16"/>
              </w:rPr>
              <w:t>Expected minutes / start probability</w:t>
            </w:r>
          </w:p>
        </w:tc>
        <w:tc>
          <w:tcPr>
            <w:tcW w:type="dxa" w:w="1632"/>
            <w:vAlign w:val="center"/>
          </w:tcPr>
          <w:p>
            <w:r/>
            <w:r>
              <w:rPr>
                <w:b w:val="0"/>
                <w:sz w:val="16"/>
              </w:rPr>
              <w:t>Added availability → start probability → expected minutes → player xG/xA → fixture xP chain; V1 uses Expected Minutes = 90 × Start Probability.</w:t>
            </w:r>
          </w:p>
        </w:tc>
        <w:tc>
          <w:tcPr>
            <w:tcW w:type="dxa" w:w="1632"/>
            <w:vAlign w:val="center"/>
          </w:tcPr>
          <w:p>
            <w:r/>
            <w:r>
              <w:rPr>
                <w:b w:val="0"/>
                <w:sz w:val="16"/>
              </w:rPr>
              <w:t>`bd413c2` — “Add player expected minutes model”; 23 focused; full suite 208.</w:t>
            </w:r>
          </w:p>
        </w:tc>
        <w:tc>
          <w:tcPr>
            <w:tcW w:type="dxa" w:w="1632"/>
            <w:vAlign w:val="center"/>
          </w:tcPr>
          <w:p>
            <w:r/>
            <w:r>
              <w:rPr>
                <w:b w:val="0"/>
                <w:sz w:val="16"/>
              </w:rPr>
              <w:t>Prediction architecture</w:t>
            </w:r>
          </w:p>
        </w:tc>
        <w:tc>
          <w:tcPr>
            <w:tcW w:type="dxa" w:w="1632"/>
            <w:vAlign w:val="center"/>
          </w:tcPr>
          <w:p>
            <w:r/>
            <w:r>
              <w:rPr>
                <w:b w:val="0"/>
                <w:sz w:val="16"/>
              </w:rPr>
              <w:t>Expected Minutes precedes production xP; model exposes completeness/warnings/version.</w:t>
            </w:r>
          </w:p>
        </w:tc>
      </w:tr>
      <w:tr>
        <w:tc>
          <w:tcPr>
            <w:tcW w:type="dxa" w:w="1632"/>
            <w:vAlign w:val="center"/>
          </w:tcPr>
          <w:p>
            <w:r/>
            <w:r>
              <w:rPr>
                <w:b w:val="0"/>
                <w:sz w:val="16"/>
              </w:rPr>
              <w:t>10</w:t>
            </w:r>
          </w:p>
        </w:tc>
        <w:tc>
          <w:tcPr>
            <w:tcW w:type="dxa" w:w="1632"/>
            <w:vAlign w:val="center"/>
          </w:tcPr>
          <w:p>
            <w:r/>
            <w:r>
              <w:rPr>
                <w:b w:val="0"/>
                <w:sz w:val="16"/>
              </w:rPr>
              <w:t>Legal squad optimizer</w:t>
            </w:r>
          </w:p>
        </w:tc>
        <w:tc>
          <w:tcPr>
            <w:tcW w:type="dxa" w:w="1632"/>
            <w:vAlign w:val="center"/>
          </w:tcPr>
          <w:p>
            <w:r/>
            <w:r>
              <w:rPr>
                <w:b w:val="0"/>
                <w:sz w:val="16"/>
              </w:rPr>
              <w:t>Added deterministic legal 15-player squad optimization enforcing positions, budget, max three per club, legal XI, transfer hits and warnings.</w:t>
            </w:r>
          </w:p>
        </w:tc>
        <w:tc>
          <w:tcPr>
            <w:tcW w:type="dxa" w:w="1632"/>
            <w:vAlign w:val="center"/>
          </w:tcPr>
          <w:p>
            <w:r/>
            <w:r>
              <w:rPr>
                <w:b w:val="0"/>
                <w:sz w:val="16"/>
              </w:rPr>
              <w:t>`2224b01` — “Add legal squad optimizer”; full suite 213.</w:t>
            </w:r>
          </w:p>
        </w:tc>
        <w:tc>
          <w:tcPr>
            <w:tcW w:type="dxa" w:w="1632"/>
            <w:vAlign w:val="center"/>
          </w:tcPr>
          <w:p>
            <w:r/>
            <w:r>
              <w:rPr>
                <w:b w:val="0"/>
                <w:sz w:val="16"/>
              </w:rPr>
              <w:t>Strategy/optimization</w:t>
            </w:r>
          </w:p>
        </w:tc>
        <w:tc>
          <w:tcPr>
            <w:tcW w:type="dxa" w:w="1632"/>
            <w:vAlign w:val="center"/>
          </w:tcPr>
          <w:p>
            <w:r/>
            <w:r>
              <w:rPr>
                <w:b w:val="0"/>
                <w:sz w:val="16"/>
              </w:rPr>
              <w:t>Expected points feed a legality-constrained optimizer; legality is explicit, not an LLM responsibility.</w:t>
            </w:r>
          </w:p>
        </w:tc>
      </w:tr>
      <w:tr>
        <w:tc>
          <w:tcPr>
            <w:tcW w:type="dxa" w:w="1632"/>
            <w:vAlign w:val="center"/>
          </w:tcPr>
          <w:p>
            <w:r/>
            <w:r>
              <w:rPr>
                <w:b w:val="0"/>
                <w:sz w:val="16"/>
              </w:rPr>
              <w:t>11</w:t>
            </w:r>
          </w:p>
        </w:tc>
        <w:tc>
          <w:tcPr>
            <w:tcW w:type="dxa" w:w="1632"/>
            <w:vAlign w:val="center"/>
          </w:tcPr>
          <w:p>
            <w:r/>
            <w:r>
              <w:rPr>
                <w:b w:val="0"/>
                <w:sz w:val="16"/>
              </w:rPr>
              <w:t>Expected Points V2 + multi-GW transfer optimization</w:t>
            </w:r>
          </w:p>
        </w:tc>
        <w:tc>
          <w:tcPr>
            <w:tcW w:type="dxa" w:w="1632"/>
            <w:vAlign w:val="center"/>
          </w:tcPr>
          <w:p>
            <w:r/>
            <w:r>
              <w:rPr>
                <w:b w:val="0"/>
                <w:sz w:val="16"/>
              </w:rPr>
              <w:t>Upgraded xP interface and player fixture model; added bounded multi-GW transfer optimization with rolling free transfers, bank/prices, hits and legality.</w:t>
            </w:r>
          </w:p>
        </w:tc>
        <w:tc>
          <w:tcPr>
            <w:tcW w:type="dxa" w:w="1632"/>
            <w:vAlign w:val="center"/>
          </w:tcPr>
          <w:p>
            <w:r/>
            <w:r>
              <w:rPr>
                <w:b w:val="0"/>
                <w:sz w:val="16"/>
              </w:rPr>
              <w:t>`9ba663b` — “Add multi-GW transfer optimization”; full suite 218.</w:t>
            </w:r>
          </w:p>
        </w:tc>
        <w:tc>
          <w:tcPr>
            <w:tcW w:type="dxa" w:w="1632"/>
            <w:vAlign w:val="center"/>
          </w:tcPr>
          <w:p>
            <w:r/>
            <w:r>
              <w:rPr>
                <w:b w:val="0"/>
                <w:sz w:val="16"/>
              </w:rPr>
              <w:t>Multi-GW strategy</w:t>
            </w:r>
          </w:p>
        </w:tc>
        <w:tc>
          <w:tcPr>
            <w:tcW w:type="dxa" w:w="1632"/>
            <w:vAlign w:val="center"/>
          </w:tcPr>
          <w:p>
            <w:r/>
            <w:r>
              <w:rPr>
                <w:b w:val="0"/>
                <w:sz w:val="16"/>
              </w:rPr>
              <w:t>Optimize over a bounded future horizon with explicit transfer costs; retain no-data/completeness behavior.</w:t>
            </w:r>
          </w:p>
        </w:tc>
      </w:tr>
      <w:tr>
        <w:tc>
          <w:tcPr>
            <w:tcW w:type="dxa" w:w="1632"/>
            <w:vAlign w:val="center"/>
          </w:tcPr>
          <w:p>
            <w:r/>
            <w:r>
              <w:rPr>
                <w:b w:val="0"/>
                <w:sz w:val="16"/>
              </w:rPr>
              <w:t>12</w:t>
            </w:r>
          </w:p>
        </w:tc>
        <w:tc>
          <w:tcPr>
            <w:tcW w:type="dxa" w:w="1632"/>
            <w:vAlign w:val="center"/>
          </w:tcPr>
          <w:p>
            <w:r/>
            <w:r>
              <w:rPr>
                <w:b w:val="0"/>
                <w:sz w:val="16"/>
              </w:rPr>
              <w:t>Captain optimization</w:t>
            </w:r>
          </w:p>
        </w:tc>
        <w:tc>
          <w:tcPr>
            <w:tcW w:type="dxa" w:w="1632"/>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632"/>
            <w:vAlign w:val="center"/>
          </w:tcPr>
          <w:p>
            <w:r/>
            <w:r>
              <w:rPr>
                <w:b w:val="0"/>
                <w:sz w:val="16"/>
              </w:rPr>
              <w:t>`c877c7d` — “Add captain optimization”; 12 internal focused tests; full suite 223.</w:t>
            </w:r>
          </w:p>
        </w:tc>
        <w:tc>
          <w:tcPr>
            <w:tcW w:type="dxa" w:w="1632"/>
            <w:vAlign w:val="center"/>
          </w:tcPr>
          <w:p>
            <w:r/>
            <w:r>
              <w:rPr>
                <w:b w:val="0"/>
                <w:sz w:val="16"/>
              </w:rPr>
              <w:t>Captaincy</w:t>
            </w:r>
          </w:p>
        </w:tc>
        <w:tc>
          <w:tcPr>
            <w:tcW w:type="dxa" w:w="1632"/>
            <w:vAlign w:val="center"/>
          </w:tcPr>
          <w:p>
            <w:r/>
            <w:r>
              <w:rPr>
                <w:b w:val="0"/>
                <w:sz w:val="16"/>
              </w:rPr>
              <w:t>Captaincy is a projection-driven decision layer, not an ownership-driven ranking.</w:t>
            </w:r>
          </w:p>
        </w:tc>
      </w:tr>
      <w:tr>
        <w:tc>
          <w:tcPr>
            <w:tcW w:type="dxa" w:w="1632"/>
            <w:vAlign w:val="center"/>
          </w:tcPr>
          <w:p>
            <w:r/>
            <w:r>
              <w:rPr>
                <w:b w:val="0"/>
                <w:sz w:val="16"/>
              </w:rPr>
              <w:t>13</w:t>
            </w:r>
          </w:p>
        </w:tc>
        <w:tc>
          <w:tcPr>
            <w:tcW w:type="dxa" w:w="1632"/>
            <w:vAlign w:val="center"/>
          </w:tcPr>
          <w:p>
            <w:r/>
            <w:r>
              <w:rPr>
                <w:b w:val="0"/>
                <w:sz w:val="16"/>
              </w:rPr>
              <w:t>Strategy evaluation foundation</w:t>
            </w:r>
          </w:p>
        </w:tc>
        <w:tc>
          <w:tcPr>
            <w:tcW w:type="dxa" w:w="1632"/>
            <w:vAlign w:val="center"/>
          </w:tcPr>
          <w:p>
            <w:r/>
            <w:r>
              <w:rPr>
                <w:b w:val="0"/>
                <w:sz w:val="16"/>
              </w:rPr>
              <w:t>Separated forecast evaluation from decision evaluation; captured information state, prediction/decision, actual outcome, errors/opportunity cost and point-in-time snapshot.</w:t>
            </w:r>
          </w:p>
        </w:tc>
        <w:tc>
          <w:tcPr>
            <w:tcW w:type="dxa" w:w="1632"/>
            <w:vAlign w:val="center"/>
          </w:tcPr>
          <w:p>
            <w:r/>
            <w:r>
              <w:rPr>
                <w:b w:val="0"/>
                <w:sz w:val="16"/>
              </w:rPr>
              <w:t>`5348edd` — “Add strategy evaluation foundation”; 9 focused; full suite 232.</w:t>
            </w:r>
          </w:p>
        </w:tc>
        <w:tc>
          <w:tcPr>
            <w:tcW w:type="dxa" w:w="1632"/>
            <w:vAlign w:val="center"/>
          </w:tcPr>
          <w:p>
            <w:r/>
            <w:r>
              <w:rPr>
                <w:b w:val="0"/>
                <w:sz w:val="16"/>
              </w:rPr>
              <w:t>Evaluation architecture</w:t>
            </w:r>
          </w:p>
        </w:tc>
        <w:tc>
          <w:tcPr>
            <w:tcW w:type="dxa" w:w="1632"/>
            <w:vAlign w:val="center"/>
          </w:tcPr>
          <w:p>
            <w:r/>
            <w:r>
              <w:rPr>
                <w:b w:val="0"/>
                <w:sz w:val="16"/>
              </w:rPr>
              <w:t>Forecast quality and strategy decision quality are evaluated separately; live and walk-forward evaluation remain distinct.</w:t>
            </w:r>
          </w:p>
        </w:tc>
      </w:tr>
      <w:tr>
        <w:tc>
          <w:tcPr>
            <w:tcW w:type="dxa" w:w="1632"/>
            <w:vAlign w:val="center"/>
          </w:tcPr>
          <w:p>
            <w:r/>
            <w:r>
              <w:rPr>
                <w:b w:val="0"/>
                <w:sz w:val="16"/>
              </w:rPr>
              <w:t>14</w:t>
            </w:r>
          </w:p>
        </w:tc>
        <w:tc>
          <w:tcPr>
            <w:tcW w:type="dxa" w:w="1632"/>
            <w:vAlign w:val="center"/>
          </w:tcPr>
          <w:p>
            <w:r/>
            <w:r>
              <w:rPr>
                <w:b w:val="0"/>
                <w:sz w:val="16"/>
              </w:rPr>
              <w:t>Future horizon and scenario foundation</w:t>
            </w:r>
          </w:p>
        </w:tc>
        <w:tc>
          <w:tcPr>
            <w:tcW w:type="dxa" w:w="1632"/>
            <w:vAlign w:val="center"/>
          </w:tcPr>
          <w:p>
            <w:r/>
            <w:r>
              <w:rPr>
                <w:b w:val="0"/>
                <w:sz w:val="16"/>
              </w:rPr>
              <w:t>Added arbitrary future GW horizon, DGW/BGW detection, completeness/warnings and scenario aggregation without inventing fixtures; no decision logic inside scenario layer.</w:t>
            </w:r>
          </w:p>
        </w:tc>
        <w:tc>
          <w:tcPr>
            <w:tcW w:type="dxa" w:w="1632"/>
            <w:vAlign w:val="center"/>
          </w:tcPr>
          <w:p>
            <w:r/>
            <w:r>
              <w:rPr>
                <w:b w:val="0"/>
                <w:sz w:val="16"/>
              </w:rPr>
              <w:t>`35657c4` — “Add future horizon scenario foundation”; 6 focused; full suite 238.</w:t>
            </w:r>
          </w:p>
        </w:tc>
        <w:tc>
          <w:tcPr>
            <w:tcW w:type="dxa" w:w="1632"/>
            <w:vAlign w:val="center"/>
          </w:tcPr>
          <w:p>
            <w:r/>
            <w:r>
              <w:rPr>
                <w:b w:val="0"/>
                <w:sz w:val="16"/>
              </w:rPr>
              <w:t>Scenario architecture</w:t>
            </w:r>
          </w:p>
        </w:tc>
        <w:tc>
          <w:tcPr>
            <w:tcW w:type="dxa" w:w="1632"/>
            <w:vAlign w:val="center"/>
          </w:tcPr>
          <w:p>
            <w:r/>
            <w:r>
              <w:rPr>
                <w:b w:val="0"/>
                <w:sz w:val="16"/>
              </w:rPr>
              <w:t>Forecast → horizon → scenario evaluation becomes an explicit layer before transfer/chip decisions.</w:t>
            </w:r>
          </w:p>
        </w:tc>
      </w:tr>
      <w:tr>
        <w:tc>
          <w:tcPr>
            <w:tcW w:type="dxa" w:w="1632"/>
            <w:vAlign w:val="center"/>
          </w:tcPr>
          <w:p>
            <w:r/>
            <w:r>
              <w:rPr>
                <w:b w:val="0"/>
                <w:sz w:val="16"/>
              </w:rPr>
              <w:t>15</w:t>
            </w:r>
          </w:p>
        </w:tc>
        <w:tc>
          <w:tcPr>
            <w:tcW w:type="dxa" w:w="1632"/>
            <w:vAlign w:val="center"/>
          </w:tcPr>
          <w:p>
            <w:r/>
            <w:r>
              <w:rPr>
                <w:b w:val="0"/>
                <w:sz w:val="16"/>
              </w:rPr>
              <w:t>Chip counterfactual strategy</w:t>
            </w:r>
          </w:p>
        </w:tc>
        <w:tc>
          <w:tcPr>
            <w:tcW w:type="dxa" w:w="1632"/>
            <w:vAlign w:val="center"/>
          </w:tcPr>
          <w:p>
            <w:r/>
            <w:r>
              <w:rPr>
                <w:b w:val="0"/>
                <w:sz w:val="16"/>
              </w:rPr>
              <w:t>Added season-aware Wildcard 1/2 rules and counterfactual evaluation for Wildcard, Free Hit, Bench Boost and Triple Captain; incremental value/opportunity cost and warnings.</w:t>
            </w:r>
          </w:p>
        </w:tc>
        <w:tc>
          <w:tcPr>
            <w:tcW w:type="dxa" w:w="1632"/>
            <w:vAlign w:val="center"/>
          </w:tcPr>
          <w:p>
            <w:r/>
            <w:r>
              <w:rPr>
                <w:b w:val="0"/>
                <w:sz w:val="16"/>
              </w:rPr>
              <w:t>`851bc7e` — “Add chip counterfactual strategy”; full suite 246.</w:t>
            </w:r>
          </w:p>
        </w:tc>
        <w:tc>
          <w:tcPr>
            <w:tcW w:type="dxa" w:w="1632"/>
            <w:vAlign w:val="center"/>
          </w:tcPr>
          <w:p>
            <w:r/>
            <w:r>
              <w:rPr>
                <w:b w:val="0"/>
                <w:sz w:val="16"/>
              </w:rPr>
              <w:t>Chip architecture</w:t>
            </w:r>
          </w:p>
        </w:tc>
        <w:tc>
          <w:tcPr>
            <w:tcW w:type="dxa" w:w="1632"/>
            <w:vAlign w:val="center"/>
          </w:tcPr>
          <w:p>
            <w:r/>
            <w:r>
              <w:rPr>
                <w:b w:val="0"/>
                <w:sz w:val="16"/>
              </w:rPr>
              <w:t>Single-chip counterfactuals first; bounded multi-chip search deferred; rules are season-aware and versioned.</w:t>
            </w:r>
          </w:p>
        </w:tc>
      </w:tr>
      <w:tr>
        <w:tc>
          <w:tcPr>
            <w:tcW w:type="dxa" w:w="1632"/>
            <w:vAlign w:val="center"/>
          </w:tcPr>
          <w:p>
            <w:r/>
            <w:r>
              <w:rPr>
                <w:b w:val="0"/>
                <w:sz w:val="16"/>
              </w:rPr>
              <w:t>16</w:t>
            </w:r>
          </w:p>
        </w:tc>
        <w:tc>
          <w:tcPr>
            <w:tcW w:type="dxa" w:w="1632"/>
            <w:vAlign w:val="center"/>
          </w:tcPr>
          <w:p>
            <w:r/>
            <w:r>
              <w:rPr>
                <w:b w:val="0"/>
                <w:sz w:val="16"/>
              </w:rPr>
              <w:t>Dream Team + multi-GW strategy</w:t>
            </w:r>
          </w:p>
        </w:tc>
        <w:tc>
          <w:tcPr>
            <w:tcW w:type="dxa" w:w="1632"/>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632"/>
            <w:vAlign w:val="center"/>
          </w:tcPr>
          <w:p>
            <w:r/>
            <w:r>
              <w:rPr>
                <w:b w:val="0"/>
                <w:sz w:val="16"/>
              </w:rPr>
              <w:t>`b7508b5` — Dream Team/orchestration; 254 tests. `41e9b6c` — multi-GW strategy; 259 tests.</w:t>
            </w:r>
          </w:p>
        </w:tc>
        <w:tc>
          <w:tcPr>
            <w:tcW w:type="dxa" w:w="1632"/>
            <w:vAlign w:val="center"/>
          </w:tcPr>
          <w:p>
            <w:r/>
            <w:r>
              <w:rPr>
                <w:b w:val="0"/>
                <w:sz w:val="16"/>
              </w:rPr>
              <w:t>Strategy orchestration</w:t>
            </w:r>
          </w:p>
        </w:tc>
        <w:tc>
          <w:tcPr>
            <w:tcW w:type="dxa" w:w="1632"/>
            <w:vAlign w:val="center"/>
          </w:tcPr>
          <w:p>
            <w:r/>
            <w:r>
              <w:rPr>
                <w:b w:val="0"/>
                <w:sz w:val="16"/>
              </w:rPr>
              <w:t>Dream Team is benchmark/context, not future input; rivals and Dream Team do not replace the universal optimizer.</w:t>
            </w:r>
          </w:p>
        </w:tc>
      </w:tr>
      <w:tr>
        <w:tc>
          <w:tcPr>
            <w:tcW w:type="dxa" w:w="1632"/>
            <w:vAlign w:val="center"/>
          </w:tcPr>
          <w:p>
            <w:r/>
            <w:r>
              <w:rPr>
                <w:b w:val="0"/>
                <w:sz w:val="16"/>
              </w:rPr>
              <w:t>17</w:t>
            </w:r>
          </w:p>
        </w:tc>
        <w:tc>
          <w:tcPr>
            <w:tcW w:type="dxa" w:w="1632"/>
            <w:vAlign w:val="center"/>
          </w:tcPr>
          <w:p>
            <w:r/>
            <w:r>
              <w:rPr>
                <w:b w:val="0"/>
                <w:sz w:val="16"/>
              </w:rPr>
              <w:t>SQLite refresh reliability</w:t>
            </w:r>
          </w:p>
        </w:tc>
        <w:tc>
          <w:tcPr>
            <w:tcW w:type="dxa" w:w="1632"/>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632"/>
            <w:vAlign w:val="center"/>
          </w:tcPr>
          <w:p>
            <w:r/>
            <w:r>
              <w:rPr>
                <w:b w:val="0"/>
                <w:sz w:val="16"/>
              </w:rPr>
              <w:t>`502809e`, `b4c20b1`, `fbacb99`; 64 persistence/refresh/idempotency tests; latest pre-18 checkpoint `fbacb99`.</w:t>
            </w:r>
          </w:p>
        </w:tc>
        <w:tc>
          <w:tcPr>
            <w:tcW w:type="dxa" w:w="1632"/>
            <w:vAlign w:val="center"/>
          </w:tcPr>
          <w:p>
            <w:r/>
            <w:r>
              <w:rPr>
                <w:b w:val="0"/>
                <w:sz w:val="16"/>
              </w:rPr>
              <w:t>Persistence reliability</w:t>
            </w:r>
          </w:p>
        </w:tc>
        <w:tc>
          <w:tcPr>
            <w:tcW w:type="dxa" w:w="1632"/>
            <w:vAlign w:val="center"/>
          </w:tcPr>
          <w:p>
            <w:r/>
            <w:r>
              <w:rPr>
                <w:b w:val="0"/>
                <w:sz w:val="16"/>
              </w:rPr>
              <w:t>Canonical transaction and ingestion audit boundary are explicit; FAILED refresh makes freshness STALE while preserving prior canonical data.</w:t>
            </w:r>
          </w:p>
        </w:tc>
      </w:tr>
      <w:tr>
        <w:tc>
          <w:tcPr>
            <w:tcW w:type="dxa" w:w="1632"/>
            <w:vAlign w:val="center"/>
          </w:tcPr>
          <w:p>
            <w:r/>
            <w:r>
              <w:rPr>
                <w:b w:val="0"/>
                <w:sz w:val="16"/>
              </w:rPr>
              <w:t>18</w:t>
            </w:r>
          </w:p>
        </w:tc>
        <w:tc>
          <w:tcPr>
            <w:tcW w:type="dxa" w:w="1632"/>
            <w:vAlign w:val="center"/>
          </w:tcPr>
          <w:p>
            <w:r/>
            <w:r>
              <w:rPr>
                <w:b w:val="0"/>
                <w:sz w:val="16"/>
              </w:rPr>
              <w:t>Production projection + strategy adapter</w:t>
            </w:r>
          </w:p>
        </w:tc>
        <w:tc>
          <w:tcPr>
            <w:tcW w:type="dxa" w:w="1632"/>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632"/>
            <w:vAlign w:val="center"/>
          </w:tcPr>
          <w:p>
            <w:r/>
            <w:r>
              <w:rPr>
                <w:b w:val="0"/>
                <w:sz w:val="16"/>
              </w:rPr>
              <w:t>`0905d96` — production projection; `ce1c62c` — orchestrator adapter; 6 focused for 18A, 16 focused for 18B; full suite 282 after 18B.</w:t>
            </w:r>
          </w:p>
        </w:tc>
        <w:tc>
          <w:tcPr>
            <w:tcW w:type="dxa" w:w="1632"/>
            <w:vAlign w:val="center"/>
          </w:tcPr>
          <w:p>
            <w:r/>
            <w:r>
              <w:rPr>
                <w:b w:val="0"/>
                <w:sz w:val="16"/>
              </w:rPr>
              <w:t>Production integration</w:t>
            </w:r>
          </w:p>
        </w:tc>
        <w:tc>
          <w:tcPr>
            <w:tcW w:type="dxa" w:w="1632"/>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sz w:val="16"/>
              </w:rPr>
              <w:t>Decision area</w:t>
            </w:r>
          </w:p>
        </w:tc>
        <w:tc>
          <w:tcPr>
            <w:tcW w:type="dxa" w:w="4896"/>
            <w:vAlign w:val="center"/>
          </w:tcPr>
          <w:p>
            <w:r/>
            <w:r>
              <w:rPr>
                <w:b/>
                <w:sz w:val="16"/>
              </w:rPr>
              <w:t>Current documented decision</w:t>
            </w:r>
          </w:p>
        </w:tc>
      </w:tr>
      <w:tr>
        <w:tc>
          <w:tcPr>
            <w:tcW w:type="dxa" w:w="4896"/>
            <w:vAlign w:val="center"/>
          </w:tcPr>
          <w:p>
            <w:r/>
            <w:r>
              <w:rPr>
                <w:b w:val="0"/>
                <w:sz w:val="16"/>
              </w:rPr>
              <w:t>Truth hierarchy</w:t>
            </w:r>
          </w:p>
        </w:tc>
        <w:tc>
          <w:tcPr>
            <w:tcW w:type="dxa" w:w="4896"/>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4896"/>
            <w:vAlign w:val="center"/>
          </w:tcPr>
          <w:p>
            <w:r/>
            <w:r>
              <w:rPr>
                <w:b w:val="0"/>
                <w:sz w:val="16"/>
              </w:rPr>
              <w:t>Historical governance</w:t>
            </w:r>
          </w:p>
        </w:tc>
        <w:tc>
          <w:tcPr>
            <w:tcW w:type="dxa" w:w="4896"/>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4896"/>
            <w:vAlign w:val="center"/>
          </w:tcPr>
          <w:p>
            <w:r/>
            <w:r>
              <w:rPr>
                <w:b w:val="0"/>
                <w:sz w:val="16"/>
              </w:rPr>
              <w:t>Statistical-first modelling</w:t>
            </w:r>
          </w:p>
        </w:tc>
        <w:tc>
          <w:tcPr>
            <w:tcW w:type="dxa" w:w="4896"/>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4896"/>
            <w:vAlign w:val="center"/>
          </w:tcPr>
          <w:p>
            <w:r/>
            <w:r>
              <w:rPr>
                <w:b w:val="0"/>
                <w:sz w:val="16"/>
              </w:rPr>
              <w:t>Current vs historical state</w:t>
            </w:r>
          </w:p>
        </w:tc>
        <w:tc>
          <w:tcPr>
            <w:tcW w:type="dxa" w:w="4896"/>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4896"/>
            <w:vAlign w:val="center"/>
          </w:tcPr>
          <w:p>
            <w:r/>
            <w:r>
              <w:rPr>
                <w:b w:val="0"/>
                <w:sz w:val="16"/>
              </w:rPr>
              <w:t>Expected-goals architecture</w:t>
            </w:r>
          </w:p>
        </w:tc>
        <w:tc>
          <w:tcPr>
            <w:tcW w:type="dxa" w:w="4896"/>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4896"/>
            <w:vAlign w:val="center"/>
          </w:tcPr>
          <w:p>
            <w:r/>
            <w:r>
              <w:rPr>
                <w:b w:val="0"/>
                <w:sz w:val="16"/>
              </w:rPr>
              <w:t>FDR vs internal fixture model</w:t>
            </w:r>
          </w:p>
        </w:tc>
        <w:tc>
          <w:tcPr>
            <w:tcW w:type="dxa" w:w="4896"/>
            <w:vAlign w:val="center"/>
          </w:tcPr>
          <w:p>
            <w:r/>
            <w:r>
              <w:rPr>
                <w:b w:val="0"/>
                <w:sz w:val="16"/>
              </w:rPr>
              <w:t>Official FDR is a benchmark/context signal; the project maintains an independent internal fixture model rather than replacing modelling with FDR.</w:t>
            </w:r>
          </w:p>
        </w:tc>
      </w:tr>
      <w:tr>
        <w:tc>
          <w:tcPr>
            <w:tcW w:type="dxa" w:w="4896"/>
            <w:vAlign w:val="center"/>
          </w:tcPr>
          <w:p>
            <w:r/>
            <w:r>
              <w:rPr>
                <w:b w:val="0"/>
                <w:sz w:val="16"/>
              </w:rPr>
              <w:t>Refresh architecture</w:t>
            </w:r>
          </w:p>
        </w:tc>
        <w:tc>
          <w:tcPr>
            <w:tcW w:type="dxa" w:w="4896"/>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4896"/>
            <w:vAlign w:val="center"/>
          </w:tcPr>
          <w:p>
            <w:r/>
            <w:r>
              <w:rPr>
                <w:b w:val="0"/>
                <w:sz w:val="16"/>
              </w:rPr>
              <w:t>Persistence architecture</w:t>
            </w:r>
          </w:p>
        </w:tc>
        <w:tc>
          <w:tcPr>
            <w:tcW w:type="dxa" w:w="4896"/>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4896"/>
            <w:vAlign w:val="center"/>
          </w:tcPr>
          <w:p>
            <w:r/>
            <w:r>
              <w:rPr>
                <w:b w:val="0"/>
                <w:sz w:val="16"/>
              </w:rPr>
              <w:t>Lineage and audit</w:t>
            </w:r>
          </w:p>
        </w:tc>
        <w:tc>
          <w:tcPr>
            <w:tcW w:type="dxa" w:w="4896"/>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4896"/>
            <w:vAlign w:val="center"/>
          </w:tcPr>
          <w:p>
            <w:r/>
            <w:r>
              <w:rPr>
                <w:b w:val="0"/>
                <w:sz w:val="16"/>
              </w:rPr>
              <w:t>Universal optimizer</w:t>
            </w:r>
          </w:p>
        </w:tc>
        <w:tc>
          <w:tcPr>
            <w:tcW w:type="dxa" w:w="4896"/>
            <w:vAlign w:val="center"/>
          </w:tcPr>
          <w:p>
            <w:r/>
            <w:r>
              <w:rPr>
                <w:b w:val="0"/>
                <w:sz w:val="16"/>
              </w:rPr>
              <w:t>One FPL team has one underlying optimization problem. Multiple leagues, standings and rivals provide context; they do not create separate team decisions.</w:t>
            </w:r>
          </w:p>
        </w:tc>
      </w:tr>
      <w:tr>
        <w:tc>
          <w:tcPr>
            <w:tcW w:type="dxa" w:w="4896"/>
            <w:vAlign w:val="center"/>
          </w:tcPr>
          <w:p>
            <w:r/>
            <w:r>
              <w:rPr>
                <w:b w:val="0"/>
                <w:sz w:val="16"/>
              </w:rPr>
              <w:t>Manager/memory separation</w:t>
            </w:r>
          </w:p>
        </w:tc>
        <w:tc>
          <w:tcPr>
            <w:tcW w:type="dxa" w:w="4896"/>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4896"/>
            <w:vAlign w:val="center"/>
          </w:tcPr>
          <w:p>
            <w:r/>
            <w:r>
              <w:rPr>
                <w:b w:val="0"/>
                <w:sz w:val="16"/>
              </w:rPr>
              <w:t>Risk/upside and chips</w:t>
            </w:r>
          </w:p>
        </w:tc>
        <w:tc>
          <w:tcPr>
            <w:tcW w:type="dxa" w:w="4896"/>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4896"/>
            <w:vAlign w:val="center"/>
          </w:tcPr>
          <w:p>
            <w:r/>
            <w:r>
              <w:rPr>
                <w:b w:val="0"/>
                <w:sz w:val="16"/>
              </w:rPr>
              <w:t>Dream Team</w:t>
            </w:r>
          </w:p>
        </w:tc>
        <w:tc>
          <w:tcPr>
            <w:tcW w:type="dxa" w:w="4896"/>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4896"/>
            <w:vAlign w:val="center"/>
          </w:tcPr>
          <w:p>
            <w:r/>
            <w:r>
              <w:rPr>
                <w:b w:val="0"/>
                <w:sz w:val="16"/>
              </w:rPr>
              <w:t>Evaluation/learning</w:t>
            </w:r>
          </w:p>
        </w:tc>
        <w:tc>
          <w:tcPr>
            <w:tcW w:type="dxa" w:w="4896"/>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4896"/>
            <w:vAlign w:val="center"/>
          </w:tcPr>
          <w:p>
            <w:r/>
            <w:r>
              <w:rPr>
                <w:b w:val="0"/>
                <w:sz w:val="16"/>
              </w:rPr>
              <w:t>Production orchestration</w:t>
            </w:r>
          </w:p>
        </w:tc>
        <w:tc>
          <w:tcPr>
            <w:tcW w:type="dxa" w:w="4896"/>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4896"/>
            <w:vAlign w:val="center"/>
          </w:tcPr>
          <w:p>
            <w:r/>
            <w:r>
              <w:rPr>
                <w:b w:val="0"/>
                <w:sz w:val="16"/>
              </w:rPr>
              <w:t>Product/deployment direction</w:t>
            </w:r>
          </w:p>
        </w:tc>
        <w:tc>
          <w:tcPr>
            <w:tcW w:type="dxa" w:w="4896"/>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p>
      <w:pPr>
        <w:pStyle w:val="Heading1"/>
      </w:pPr>
      <w:bookmarkStart w:id="1001" w:name="IndexTarget1001"/>
      <w:r>
        <w:t>1. Document Purpose</w:t>
      </w:r>
      <w:bookmarkEnd w:id="1001"/>
    </w:p>
    <w:p>
      <w:r>
        <w:t>This BRD defines the business objective, strategic scope, user experience, operating principles, trust model, competitive context, constraints and roadmap for FPL-Agent. It is a living document and must be updated when material requirements, architecture, data, strategy, storage, authentication, learning or operating decisions change.</w:t>
      </w:r>
    </w:p>
    <w:p>
      <w:pPr>
        <w:pStyle w:val="Heading1"/>
      </w:pPr>
      <w:bookmarkStart w:id="1002" w:name="IndexTarget1002"/>
      <w:r>
        <w:t>2. Business Objective and North Star</w:t>
      </w:r>
      <w:bookmarkEnd w:id="1002"/>
    </w:p>
    <w:p>
      <w:r>
        <w:t>Build a proactive FPL Strategist that analyses the user's team, fixtures, players, transfers, chips, rivals, current-season evidence, historical evidence and verified news/injury information when available, then produces actionable strategic plans rather than functioning as a simple question-answering bot.</w:t>
      </w:r>
    </w:p>
    <w:p>
      <w:r>
        <w:t>North-star objective: always optimize the user's single FPL team toward the best achievable overall FPL outcome by maximizing decision quality and expected points over the season.</w:t>
      </w:r>
    </w:p>
    <w:p>
      <w:pPr>
        <w:pStyle w:val="Heading1"/>
      </w:pPr>
      <w:bookmarkStart w:id="1003" w:name="IndexTarget1003"/>
      <w:r>
        <w:t>3. Strategic Principles</w:t>
      </w:r>
      <w:bookmarkEnd w:id="1003"/>
    </w:p>
    <w:p>
      <w:pPr>
        <w:pStyle w:val="ListBullet"/>
      </w:pPr>
      <w:r>
        <w:t>One FPL team, one core optimizer: the strategist does not create different transfer/captain/chip actions for different mini-leagues.</w:t>
      </w:r>
    </w:p>
    <w:p>
      <w:pPr>
        <w:pStyle w:val="ListBullet"/>
      </w:pPr>
      <w:r>
        <w:t>Mini-leagues are competitive context and analytics views. League standings, rivals and payout structures may affect risk analysis, but do not create separate optimization objectives.</w:t>
      </w:r>
    </w:p>
    <w:p>
      <w:pPr>
        <w:pStyle w:val="ListBullet"/>
      </w:pPr>
      <w:r>
        <w:t>The agent must be proactive. It should recommend transfers, rolling, hits, captain/vice, bench order, chip timing and multi-GW plans without waiting for the user to ask every time.</w:t>
      </w:r>
    </w:p>
    <w:p>
      <w:pPr>
        <w:pStyle w:val="ListBullet"/>
      </w:pPr>
      <w:r>
        <w:t>A no-transfer / roll recommendation is a valid strategic outcome.</w:t>
      </w:r>
    </w:p>
    <w:p>
      <w:pPr>
        <w:pStyle w:val="ListBullet"/>
      </w:pPr>
      <w:r>
        <w:t>Risk should be controlled and evidence-based. Differentials are used for upside where justified by expected value, uncertainty and competitive context—not as automatic gambling for weekly prizes.</w:t>
      </w:r>
    </w:p>
    <w:p>
      <w:pPr>
        <w:pStyle w:val="ListBullet"/>
      </w:pPr>
      <w:r>
        <w:t>The strategist should consider both expected points and ceiling/upside, especially where league/rank gaps make upside strategically relevant.</w:t>
      </w:r>
    </w:p>
    <w:p>
      <w:pPr>
        <w:pStyle w:val="ListBullet"/>
      </w:pPr>
      <w:r>
        <w:t>Official FPL data is the authoritative source for FPL facts. The LLM interprets verified structured data and must not invent authoritative facts.</w:t>
      </w:r>
    </w:p>
    <w:p>
      <w:pPr>
        <w:pStyle w:val="ListBullet"/>
      </w:pPr>
      <w:r>
        <w:t>NO DATA = NO ANSWER: if decision-critical data is unavailable or unverified, the agent must say so and exclude unsupported conclusions.</w:t>
      </w:r>
    </w:p>
    <w:p>
      <w:pPr>
        <w:pStyle w:val="ListBullet"/>
      </w:pPr>
      <w:r>
        <w:t>Historical hindsight must never leak into a same-GW recommendation.</w:t>
      </w:r>
    </w:p>
    <w:p>
      <w:pPr>
        <w:pStyle w:val="ListBullet"/>
      </w:pPr>
      <w:r>
        <w:t>Strategic learning must be stored as structured data and prediction/outcome records, not only in conversational memory.</w:t>
      </w:r>
    </w:p>
    <w:p>
      <w:pPr>
        <w:pStyle w:val="Heading1"/>
      </w:pPr>
      <w:bookmarkStart w:id="1004" w:name="IndexTarget1004"/>
      <w:r>
        <w:t>4. User Experience and Operating Model</w:t>
      </w:r>
      <w:bookmarkEnd w:id="1004"/>
    </w:p>
    <w:p>
      <w:pPr>
        <w:pStyle w:val="ListBullet"/>
      </w:pPr>
      <w:r>
        <w:t>Cloud-first access from mobile, MacBook, laptop and other supported devices.</w:t>
      </w:r>
    </w:p>
    <w:p>
      <w:pPr>
        <w:pStyle w:val="ListBullet"/>
      </w:pPr>
      <w:r>
        <w:t>Persistent application state must survive restarts.</w:t>
      </w:r>
    </w:p>
    <w:p>
      <w:pPr>
        <w:pStyle w:val="ListBullet"/>
      </w:pPr>
      <w:r>
        <w:t>Persistent chat history must support multiple named conversations/sessions so the season can be navigated naturally.</w:t>
      </w:r>
    </w:p>
    <w:p>
      <w:pPr>
        <w:pStyle w:val="ListBullet"/>
      </w:pPr>
      <w:r>
        <w:t>Example sessions include GW5 Strategy, GW6 Midweek Strategy, GW6 Pre-Deadline, Transfer Discussion and Season Strategy.</w:t>
      </w:r>
    </w:p>
    <w:p>
      <w:pPr>
        <w:pStyle w:val="ListBullet"/>
      </w:pPr>
      <w:r>
        <w:t>Conversation history and structured strategic memory are separate concepts. Chat history preserves the conversation; strategic memory preserves durable decisions, recommendations, outcomes and important state.</w:t>
      </w:r>
    </w:p>
    <w:p>
      <w:pPr>
        <w:pStyle w:val="ListBullet"/>
      </w:pPr>
      <w:r>
        <w:t>The agent should not repeatedly ask the same questions across a gameweek. It should retain verified state and proactively surface decisions.</w:t>
      </w:r>
    </w:p>
    <w:p>
      <w:pPr>
        <w:pStyle w:val="ListBullet"/>
      </w:pPr>
      <w:r>
        <w:t>Target operating cadence is approximately three strategic analyses per gameweek: post-GW, midweek refresh and pre-deadline final.</w:t>
      </w:r>
    </w:p>
    <w:p>
      <w:pPr>
        <w:pStyle w:val="ListBullet"/>
      </w:pPr>
      <w:r>
        <w:t>The same strategist should proactively refresh its view when the user requests an analysis; continuous always-on execution is not required.</w:t>
      </w:r>
    </w:p>
    <w:p>
      <w:pPr>
        <w:pStyle w:val="Heading1"/>
      </w:pPr>
      <w:bookmarkStart w:id="1005" w:name="IndexTarget1005"/>
      <w:r>
        <w:t>5. Core Strategic Capabilities</w:t>
      </w:r>
      <w:bookmarkEnd w:id="1005"/>
    </w:p>
    <w:p>
      <w:pPr>
        <w:pStyle w:val="ListBullet"/>
      </w:pPr>
      <w:r>
        <w:t>Squad assessment and player role classification.</w:t>
      </w:r>
    </w:p>
    <w:p>
      <w:pPr>
        <w:pStyle w:val="ListBullet"/>
      </w:pPr>
      <w:r>
        <w:t>Transfer recommendation: buy, sell, roll, multiple transfers, or hit where justified.</w:t>
      </w:r>
    </w:p>
    <w:p>
      <w:pPr>
        <w:pStyle w:val="ListBullet"/>
      </w:pPr>
      <w:r>
        <w:t>Starting XI and bench-order optimization.</w:t>
      </w:r>
    </w:p>
    <w:p>
      <w:pPr>
        <w:pStyle w:val="ListBullet"/>
      </w:pPr>
      <w:r>
        <w:t>Captain and vice-captain selection using expected points plus ceiling/upside and uncertainty.</w:t>
      </w:r>
    </w:p>
    <w:p>
      <w:pPr>
        <w:pStyle w:val="ListBullet"/>
      </w:pPr>
      <w:r>
        <w:t>Wildcard, Free Hit, Bench Boost and Triple Captain planning.</w:t>
      </w:r>
    </w:p>
    <w:p>
      <w:pPr>
        <w:pStyle w:val="ListBullet"/>
      </w:pPr>
      <w:r>
        <w:t>Multi-GW planning, including the immediate next GW and a 3–5 GW planning horizon.</w:t>
      </w:r>
    </w:p>
    <w:p>
      <w:pPr>
        <w:pStyle w:val="ListBullet"/>
      </w:pPr>
      <w:r>
        <w:t>Budget, bank, team value, free transfers, transfer history and squad-structure constraints.</w:t>
      </w:r>
    </w:p>
    <w:p>
      <w:pPr>
        <w:pStyle w:val="ListBullet"/>
      </w:pPr>
      <w:r>
        <w:t>Blank/Double Gameweek planning.</w:t>
      </w:r>
    </w:p>
    <w:p>
      <w:pPr>
        <w:pStyle w:val="ListBullet"/>
      </w:pPr>
      <w:r>
        <w:t>Controlled differential strategy.</w:t>
      </w:r>
    </w:p>
    <w:p>
      <w:pPr>
        <w:pStyle w:val="ListBullet"/>
      </w:pPr>
      <w:r>
        <w:t>Rival-aware context and gap analysis.</w:t>
      </w:r>
    </w:p>
    <w:p>
      <w:pPr>
        <w:pStyle w:val="ListBullet"/>
      </w:pPr>
      <w:r>
        <w:t>Expected-points projections with transparent inputs and uncertainty.</w:t>
      </w:r>
    </w:p>
    <w:p>
      <w:pPr>
        <w:pStyle w:val="ListBullet"/>
      </w:pPr>
      <w:r>
        <w:t>Post-GW evaluation of recommendations versus actual outcomes.</w:t>
      </w:r>
    </w:p>
    <w:p>
      <w:pPr>
        <w:pStyle w:val="ListBullet"/>
      </w:pPr>
      <w:r>
        <w:t>Production player projections are now generated through a dedicated point-in-time multi-Gameweek projection pipeline before strategic comparison.</w:t>
      </w:r>
    </w:p>
    <w:p>
      <w:pPr>
        <w:pStyle w:val="ListBullet"/>
      </w:pPr>
      <w:r>
        <w:t>The strategic orchestrator can consume the authoritative production projection result directly, preserving projection completeness and warnings into the final decision package.</w:t>
      </w:r>
    </w:p>
    <w:p>
      <w:pPr>
        <w:pStyle w:val="Heading1"/>
      </w:pPr>
      <w:bookmarkStart w:id="1006" w:name="IndexTarget1006"/>
      <w:r>
        <w:t>6. Mini-Leagues, Rivals and Prize Structures</w:t>
      </w:r>
      <w:bookmarkEnd w:id="1006"/>
    </w:p>
    <w:p>
      <w:r>
        <w:t>A user may place the same FPL team into multiple paid or unpaid mini-leagues. The product must therefore represent the relationship as User → FPL Team → multiple Leagues → standings/rivals/payout context.</w:t>
      </w:r>
    </w:p>
    <w:p>
      <w:pPr>
        <w:pStyle w:val="ListBullet"/>
      </w:pPr>
      <w:r>
        <w:t>League configuration must be flexible; payout structures must not be hard-coded.</w:t>
      </w:r>
    </w:p>
    <w:p>
      <w:pPr>
        <w:pStyle w:val="ListBullet"/>
      </w:pPr>
      <w:r>
        <w:t>League standings and rival snapshots are contextual inputs to risk and opportunity analysis.</w:t>
      </w:r>
    </w:p>
    <w:p>
      <w:pPr>
        <w:pStyle w:val="ListBullet"/>
      </w:pPr>
      <w:r>
        <w:t>The core optimizer remains universal for the user's FPL team.</w:t>
      </w:r>
    </w:p>
    <w:p>
      <w:pPr>
        <w:pStyle w:val="ListBullet"/>
      </w:pPr>
      <w:r>
        <w:t>The system must not claim future rival transfers, squads, captains or chip use as facts unless actually observed after the relevant deadline.</w:t>
      </w:r>
    </w:p>
    <w:p>
      <w:pPr>
        <w:pStyle w:val="ListBullet"/>
      </w:pPr>
      <w:r>
        <w:t>Historical rival behaviour may be derived from completed-gameweek snapshots.</w:t>
      </w:r>
    </w:p>
    <w:p>
      <w:pPr>
        <w:pStyle w:val="ListBullet"/>
      </w:pPr>
      <w:r>
        <w:t>Weekly prizes and season prizes can inform competitive context, but the agent must not automatically switch to reckless short-term strategies.</w:t>
      </w:r>
    </w:p>
    <w:p>
      <w:pPr>
        <w:pStyle w:val="Heading1"/>
      </w:pPr>
      <w:bookmarkStart w:id="1007" w:name="IndexTarget1007"/>
      <w:r>
        <w:t>7. Prediction, Fixture and Expected-Points Direction</w:t>
      </w:r>
      <w:bookmarkEnd w:id="1007"/>
    </w:p>
    <w:p>
      <w:pPr>
        <w:pStyle w:val="ListBullet"/>
      </w:pPr>
      <w:r>
        <w:t>The Historical Prior Layer is diagnostic-first in its initial implementation: it exposes historical team-strength evidence but is not automatically fed into the baseline expected-goals formula.</w:t>
      </w:r>
    </w:p>
    <w:p>
      <w:pPr>
        <w:pStyle w:val="ListBullet"/>
      </w:pPr>
      <w:r>
        <w:t>For the initial methodology, the Historical Prior Layer may use up to the three most recent completed Premier League seasons before the target season.</w:t>
      </w:r>
    </w:p>
    <w:p>
      <w:pPr>
        <w:pStyle w:val="ListBullet"/>
      </w:pPr>
      <w:r>
        <w:t>Initial historical recency weights are 60% for the previous season, 30% for two seasons prior and 10% for three seasons prior. These are transparent baseline assumptions and are not treated as permanently optimal.</w:t>
      </w:r>
    </w:p>
    <w:p>
      <w:pPr>
        <w:pStyle w:val="ListBullet"/>
      </w:pPr>
      <w:r>
        <w:t>Historical prior outputs must retain season coverage and sample-size metadata so confidence and data availability remain visible to downstream modelling.</w:t>
      </w:r>
    </w:p>
    <w:p>
      <w:pPr>
        <w:pStyle w:val="ListBullet"/>
      </w:pPr>
      <w:r>
        <w:t>The modelling architecture must distinguish training history from point-in-time prediction state: training history may calibrate model parameters, while fixture-state features must contain only information available before the target kickoff.</w:t>
      </w:r>
    </w:p>
    <w:p>
      <w:pPr>
        <w:pStyle w:val="ListBullet"/>
      </w:pPr>
      <w:r>
        <w:t>Historical prior information, when introduced, must be evaluated as a separate modelling layer rather than by contaminating current-season cumulative or recent-form features.</w:t>
      </w:r>
    </w:p>
    <w:p>
      <w:pPr>
        <w:pStyle w:val="ListBullet"/>
      </w:pPr>
      <w:r>
        <w:t>Maintain official FPL FDR and an independently derived internal fixture model side-by-side.</w:t>
      </w:r>
    </w:p>
    <w:p>
      <w:pPr>
        <w:pStyle w:val="ListBullet"/>
      </w:pPr>
      <w:r>
        <w:t>Treat official FDR as a benchmark signal, not as an assumed reproduction of an undisclosed formula.</w:t>
      </w:r>
    </w:p>
    <w:p>
      <w:pPr>
        <w:pStyle w:val="ListBullet"/>
      </w:pPr>
      <w:r>
        <w:t>Build transparent team-strength components from observed results, underlying metrics, recent trend, home/away context, opponent strength, normalization and sample-size treatment.</w:t>
      </w:r>
    </w:p>
    <w:p>
      <w:pPr>
        <w:pStyle w:val="ListBullet"/>
      </w:pPr>
      <w:r>
        <w:t>Eventually connect fixture intelligence to expected goals and then expected player FPL points.</w:t>
      </w:r>
    </w:p>
    <w:p>
      <w:pPr>
        <w:pStyle w:val="ListBullet"/>
      </w:pPr>
      <w:r>
        <w:t>Expected points should account for expected minutes/start probability, goals, assists, clean sheets, saves, defensive contributions, bonus, penalties, set pieces, position, home/away, opponent, team strengths, recent underlying performance, tactical role, rotation, injuries and fixture congestion.</w:t>
      </w:r>
    </w:p>
    <w:p>
      <w:pPr>
        <w:pStyle w:val="ListBullet"/>
      </w:pPr>
      <w:r>
        <w:t>Use walk-forward/out-of-sample validation before trusting model weights or blending models.</w:t>
      </w:r>
    </w:p>
    <w:p>
      <w:pPr>
        <w:pStyle w:val="Heading1"/>
      </w:pPr>
      <w:bookmarkStart w:id="1008" w:name="IndexTarget1008"/>
      <w:r>
        <w:t>8. Data Trust and Provenance</w:t>
      </w:r>
      <w:bookmarkEnd w:id="1008"/>
    </w:p>
    <w:p>
      <w:pPr>
        <w:pStyle w:val="ListBullet"/>
      </w:pPr>
      <w:r>
        <w:t>Level 1: official FPL API or validated FPL-authoritative records.</w:t>
      </w:r>
    </w:p>
    <w:p>
      <w:pPr>
        <w:pStyle w:val="ListBullet"/>
      </w:pPr>
      <w:r>
        <w:t>Level 2: derived calculations from trusted data.</w:t>
      </w:r>
    </w:p>
    <w:p>
      <w:pPr>
        <w:pStyle w:val="ListBullet"/>
      </w:pPr>
      <w:r>
        <w:t>Level 3: user-provided current information, explicitly labelled and temporary.</w:t>
      </w:r>
    </w:p>
    <w:p>
      <w:pPr>
        <w:pStyle w:val="ListBullet"/>
      </w:pPr>
      <w:r>
        <w:t>Level 4: LLM inference for interpretation only.</w:t>
      </w:r>
    </w:p>
    <w:p>
      <w:pPr>
        <w:pStyle w:val="ListBullet"/>
      </w:pPr>
      <w:r>
        <w:t>Decision-critical data must carry source/provenance and timestamp information.</w:t>
      </w:r>
    </w:p>
    <w:p>
      <w:pPr>
        <w:pStyle w:val="ListBullet"/>
      </w:pPr>
      <w:r>
        <w:t>When stale data is not decision-critical, the last verified value may be shown with its timestamp.</w:t>
      </w:r>
    </w:p>
    <w:p>
      <w:pPr>
        <w:pStyle w:val="ListBullet"/>
      </w:pPr>
      <w:r>
        <w:t>When stale/missing data is decision-critical, the agent should expose the last verified value and request confirmation/correction rather than silently guessing.</w:t>
      </w:r>
    </w:p>
    <w:p>
      <w:pPr>
        <w:pStyle w:val="Heading1"/>
      </w:pPr>
      <w:bookmarkStart w:id="1009" w:name="IndexTarget1009"/>
      <w:r>
        <w:t>9. Historical Data and Source Governance</w:t>
      </w:r>
      <w:bookmarkEnd w:id="1009"/>
    </w:p>
    <w:p>
      <w:pPr>
        <w:pStyle w:val="Heading2"/>
      </w:pPr>
      <w:r>
        <w:t>9.1 Historical Prior Layer Methodology</w:t>
      </w:r>
    </w:p>
    <w:p>
      <w:pPr>
        <w:pStyle w:val="ListBullet"/>
      </w:pPr>
      <w:r>
        <w:t>Historical Prior Layer inputs are restricted to completed Premier League seasons before the target season; target-season and post-cutoff observations are excluded.</w:t>
      </w:r>
    </w:p>
    <w:p>
      <w:pPr>
        <w:pStyle w:val="ListBullet"/>
      </w:pPr>
      <w:r>
        <w:t>The initial historical window is up to three completed seasons, represented with 60% / 30% / 10% recency weights from most recent to oldest season used.</w:t>
      </w:r>
    </w:p>
    <w:p>
      <w:pPr>
        <w:pStyle w:val="ListBullet"/>
      </w:pPr>
      <w:r>
        <w:t>Historical evidence is represented separately from current-season point-in-time state. Historical seasons must not be concatenated into current-season cumulative statistics or recent-five form.</w:t>
      </w:r>
    </w:p>
    <w:p>
      <w:pPr>
        <w:pStyle w:val="ListBullet"/>
      </w:pPr>
      <w:r>
        <w:t>The current-season recent-five feature remains current-season only. Any future cross-season recent window would be a separate feature requiring separate validation.</w:t>
      </w:r>
    </w:p>
    <w:p>
      <w:pPr>
        <w:pStyle w:val="ListBullet"/>
      </w:pPr>
      <w:r>
        <w:t>Promoted teams without usable prior Premier League evidence receive no fabricated Premier League prior. The prior is explicitly unavailable until validated evidence exists.</w:t>
      </w:r>
    </w:p>
    <w:p>
      <w:pPr>
        <w:pStyle w:val="ListBullet"/>
      </w:pPr>
      <w:r>
        <w:t>Missing historical prior information is preserved as missing and may cause the prediction layer to fall back to validated current-season and league-baseline information; the system must not silently substitute guesses.</w:t>
      </w:r>
    </w:p>
    <w:p>
      <w:pPr>
        <w:pStyle w:val="ListBullet"/>
      </w:pPr>
      <w:r>
        <w:t>Historical observed performance and underlying metrics remain separate signals. No assumption is made that one is inherently superior without validation.</w:t>
      </w:r>
    </w:p>
    <w:p>
      <w:pPr>
        <w:pStyle w:val="ListBullet"/>
      </w:pPr>
      <w:r>
        <w:t>Historical prior sample size, season count and availability must be retained as metadata.</w:t>
      </w:r>
    </w:p>
    <w:p>
      <w:pPr>
        <w:pStyle w:val="ListBullet"/>
      </w:pPr>
      <w:r>
        <w:t>No separate historical shrinkage parameter is introduced in V1. Any future shrinkage or decay tuning must be selected through leakage-safe walk-forward validation.</w:t>
      </w:r>
    </w:p>
    <w:p>
      <w:pPr>
        <w:pStyle w:val="ListBullet"/>
      </w:pPr>
      <w:r>
        <w:t>The Historical Prior Layer remains outside the production baseline expected-goals formula until leakage-safe validation demonstrates incremental value over the current-season-state baseline.</w:t>
      </w:r>
    </w:p>
    <w:p>
      <w:pPr>
        <w:pStyle w:val="ListBullet"/>
      </w:pPr>
      <w:r>
        <w:t>Current-season point-in-time state and historical prior information are separate concepts. Historical seasons must not be concatenated into the current-season state.</w:t>
      </w:r>
    </w:p>
    <w:p>
      <w:pPr>
        <w:pStyle w:val="ListBullet"/>
      </w:pPr>
      <w:r>
        <w:t>The future Historical Prior Layer may provide previous-season and multi-season context, but its recency, decay, sample-size treatment and promoted/relegated handling must be explicitly defined and validated.</w:t>
      </w:r>
    </w:p>
    <w:p>
      <w:pPr>
        <w:pStyle w:val="ListBullet"/>
      </w:pPr>
      <w:r>
        <w:t>The current-season recent-five feature remains restricted to matches from the current season; cross-season matches must not be silently mixed into recent form.</w:t>
      </w:r>
    </w:p>
    <w:p>
      <w:pPr>
        <w:pStyle w:val="ListBullet"/>
      </w:pPr>
      <w:r>
        <w:t>Historical priors must not enter the baseline expected-goals formula until their incremental value is demonstrated through leakage-safe walk-forward validation.</w:t>
      </w:r>
    </w:p>
    <w:p>
      <w:pPr>
        <w:pStyle w:val="ListBullet"/>
      </w:pPr>
      <w:r>
        <w:t>Use six completed historical seasons for the current modelling foundation: 2020/21 through 2025/26.</w:t>
      </w:r>
    </w:p>
    <w:p>
      <w:pPr>
        <w:pStyle w:val="ListBullet"/>
      </w:pPr>
      <w:r>
        <w:t>Historical external sources are bootstrap inputs; the project should retain its own verified historical store and progressively build 2026/27 onward internally.</w:t>
      </w:r>
    </w:p>
    <w:p>
      <w:pPr>
        <w:pStyle w:val="ListBullet"/>
      </w:pPr>
      <w:r>
        <w:t>The core historical player/team truth remains FPL-authoritative.</w:t>
      </w:r>
    </w:p>
    <w:p>
      <w:pPr>
        <w:pStyle w:val="ListBullet"/>
      </w:pPr>
      <w:r>
        <w:t>Historical player data uses a canonical one-player-per-fixture grain. Exact duplicate rows may be collapsed only after confirming identical content; conflicting duplicates are validation failures.</w:t>
      </w:r>
    </w:p>
    <w:p>
      <w:pPr>
        <w:pStyle w:val="ListBullet"/>
      </w:pPr>
      <w:r>
        <w:t>Missing historical authoritative fields remain NULL; they must not be fabricated.</w:t>
      </w:r>
    </w:p>
    <w:p>
      <w:pPr>
        <w:pStyle w:val="ListBullet"/>
      </w:pPr>
      <w:r>
        <w:t>Secondary sources such as Understat may later be evaluated as separate modelling features, but must not silently replace FPL-authoritative fields.</w:t>
      </w:r>
    </w:p>
    <w:p>
      <w:pPr>
        <w:pStyle w:val="ListBullet"/>
      </w:pPr>
      <w:r>
        <w:t>2022/23 GW7 is treated as a legitimate postponed/blank gameweek representation; missing fixtures are not fabricated.</w:t>
      </w:r>
    </w:p>
    <w:p>
      <w:pPr>
        <w:pStyle w:val="Heading1"/>
      </w:pPr>
      <w:bookmarkStart w:id="1010" w:name="IndexTarget1010"/>
      <w:r>
        <w:t>10. Learning and Evaluation</w:t>
      </w:r>
      <w:bookmarkEnd w:id="1010"/>
    </w:p>
    <w:p>
      <w:pPr>
        <w:pStyle w:val="ListBullet"/>
      </w:pPr>
      <w:r>
        <w:t>Store prediction snapshots before fixtures/gameweeks begin.</w:t>
      </w:r>
    </w:p>
    <w:p>
      <w:pPr>
        <w:pStyle w:val="ListBullet"/>
      </w:pPr>
      <w:r>
        <w:t>Store actual outcomes after completion.</w:t>
      </w:r>
    </w:p>
    <w:p>
      <w:pPr>
        <w:pStyle w:val="ListBullet"/>
      </w:pPr>
      <w:r>
        <w:t>Retain model version and relevant inputs for auditability.</w:t>
      </w:r>
    </w:p>
    <w:p>
      <w:pPr>
        <w:pStyle w:val="ListBullet"/>
      </w:pPr>
      <w:r>
        <w:t>Use walk-forward evaluation to prevent look-ahead bias.</w:t>
      </w:r>
    </w:p>
    <w:p>
      <w:pPr>
        <w:pStyle w:val="ListBullet"/>
      </w:pPr>
      <w:r>
        <w:t>Do not reactively change model weights because of one or two gameweeks.</w:t>
      </w:r>
    </w:p>
    <w:p>
      <w:pPr>
        <w:pStyle w:val="ListBullet"/>
      </w:pPr>
      <w:r>
        <w:t>Dream Team is a post-GW evaluation signal, not a same-GW prediction input.</w:t>
      </w:r>
    </w:p>
    <w:p>
      <w:pPr>
        <w:pStyle w:val="ListBullet"/>
      </w:pPr>
      <w:r>
        <w:t>Evaluate recommendation quality using both predictive metrics and downstream FPL decision outcomes.</w:t>
      </w:r>
    </w:p>
    <w:p>
      <w:pPr>
        <w:pStyle w:val="Heading1"/>
      </w:pPr>
      <w:bookmarkStart w:id="1011" w:name="IndexTarget1011"/>
      <w:r>
        <w:t>11. Cost and Deployment Constraints</w:t>
      </w:r>
      <w:bookmarkEnd w:id="1011"/>
    </w:p>
    <w:p>
      <w:pPr>
        <w:pStyle w:val="ListBullet"/>
      </w:pPr>
      <w:r>
        <w:t>Target additional operating cost: ₹0.</w:t>
      </w:r>
    </w:p>
    <w:p>
      <w:pPr>
        <w:pStyle w:val="ListBullet"/>
      </w:pPr>
      <w:r>
        <w:t>Prefer official/public FPL data and free-tier/public infrastructure.</w:t>
      </w:r>
    </w:p>
    <w:p>
      <w:pPr>
        <w:pStyle w:val="ListBullet"/>
      </w:pPr>
      <w:r>
        <w:t>Cloud-first persistence is required.</w:t>
      </w:r>
    </w:p>
    <w:p>
      <w:pPr>
        <w:pStyle w:val="ListBullet"/>
      </w:pPr>
      <w:r>
        <w:t>No FPL authentication is required for the MVP/core.</w:t>
      </w:r>
    </w:p>
    <w:p>
      <w:pPr>
        <w:pStyle w:val="ListBullet"/>
      </w:pPr>
      <w:r>
        <w:t>Authenticated/private endpoints may be considered later if required.</w:t>
      </w:r>
    </w:p>
    <w:p>
      <w:pPr>
        <w:pStyle w:val="Heading1"/>
      </w:pPr>
      <w:bookmarkStart w:id="1012" w:name="IndexTarget1012"/>
      <w:r>
        <w:t>12. Multi-User Direction</w:t>
      </w:r>
      <w:bookmarkEnd w:id="1012"/>
    </w:p>
    <w:p>
      <w:pPr>
        <w:pStyle w:val="ListBullet"/>
      </w:pPr>
      <w:r>
        <w:t>Future product operation supports multiple login IDs.</w:t>
      </w:r>
    </w:p>
    <w:p>
      <w:pPr>
        <w:pStyle w:val="ListBullet"/>
      </w:pPr>
      <w:r>
        <w:t>Each user can have a different FPL team ID and one or more mini-leagues.</w:t>
      </w:r>
    </w:p>
    <w:p>
      <w:pPr>
        <w:pStyle w:val="ListBullet"/>
      </w:pPr>
      <w:r>
        <w:t>Conversations, strategic memory, manager state and recommendations must be isolated per user.</w:t>
      </w:r>
    </w:p>
    <w:p>
      <w:pPr>
        <w:pStyle w:val="ListBullet"/>
      </w:pPr>
      <w:r>
        <w:t>Global FPL datasets should be shared rather than duplicated per user.</w:t>
      </w:r>
    </w:p>
    <w:p>
      <w:pPr>
        <w:pStyle w:val="ListBullet"/>
      </w:pPr>
      <w:r>
        <w:t>No cross-user data leakage is acceptable.</w:t>
      </w:r>
    </w:p>
    <w:p>
      <w:pPr>
        <w:pStyle w:val="Heading1"/>
      </w:pPr>
      <w:bookmarkStart w:id="1013" w:name="IndexTarget1013"/>
      <w:r>
        <w:t>13. Current Development Checkpoint</w:t>
      </w:r>
      <w:bookmarkEnd w:id="1013"/>
    </w:p>
    <w:p>
      <w:pPr>
        <w:pStyle w:val="ListBullet"/>
      </w:pPr>
      <w:r>
        <w:t>Latest verified implementation checkpoint: ce1c62c — Integrate production projections with strategy orchestrator.</w:t>
      </w:r>
    </w:p>
    <w:p>
      <w:pPr>
        <w:pStyle w:val="ListBullet"/>
      </w:pPr>
      <w:r>
        <w:t>Transparent team-strength layer is implemented.</w:t>
      </w:r>
    </w:p>
    <w:p>
      <w:pPr>
        <w:pStyle w:val="ListBullet"/>
      </w:pPr>
      <w:r>
        <w:t>Historical team ingestion is validated for 2020/21–2025/26: 2,280 matches.</w:t>
      </w:r>
    </w:p>
    <w:p>
      <w:pPr>
        <w:pStyle w:val="ListBullet"/>
      </w:pPr>
      <w:r>
        <w:t>Historical player ingestion is validated for 2020/21–2025/26: 163,394 canonical player-fixture records.</w:t>
      </w:r>
    </w:p>
    <w:p>
      <w:pPr>
        <w:pStyle w:val="ListBullet"/>
      </w:pPr>
      <w:r>
        <w:t>Known exact duplicate rows in 2025/26 were safely handled.</w:t>
      </w:r>
    </w:p>
    <w:p>
      <w:pPr>
        <w:pStyle w:val="ListBullet"/>
      </w:pPr>
      <w:r>
        <w:t>The next development sequence is Historical Prior Layer implementation → rebuild walk-forward validation dataset → rerun expected-goals evaluation and leakage-safe shrinkage calibration → integrate validated historical priors only if incremental value is demonstrated.</w:t>
      </w:r>
    </w:p>
    <w:p>
      <w:pPr>
        <w:pStyle w:val="ListBullet"/>
      </w:pPr>
      <w:r>
        <w:t>Do not modify app.py prematurely; the architecture must remain interface-independent and modular.</w:t>
      </w:r>
    </w:p>
    <w:p>
      <w:pPr>
        <w:pStyle w:val="ListBullet"/>
      </w:pPr>
      <w:r>
        <w:t>Batch 18A (commit 0905d96) completed the production projection pipeline: completed fixtures strictly before the target Gameweek form the point-in-time team state; future fixtures in the explicit horizon are projected into player fixture and multi-GW expected points.</w:t>
      </w:r>
    </w:p>
    <w:p>
      <w:pPr>
        <w:pStyle w:val="ListBullet"/>
      </w:pPr>
      <w:r>
        <w:t>Batch 18B (commit ce1c62c) integrated that production projection contract into the strategy orchestrator through an explicit adapter, including target/horizon validation and propagation of projection completeness and warnings.</w:t>
      </w:r>
    </w:p>
    <w:p>
      <w:pPr>
        <w:pStyle w:val="ListBullet"/>
      </w:pPr>
      <w:r>
        <w:t>The production projection result is a runtime model contract, not a new database entity. Persistence of prediction snapshots and decision audit records remains governed by the approved database model.</w:t>
      </w:r>
    </w:p>
    <w:p>
      <w:pPr>
        <w:pStyle w:val="Heading2"/>
      </w:pPr>
      <w:r>
        <w:t>13.1 Database Architecture Checkpoint</w:t>
      </w:r>
    </w:p>
    <w:p>
      <w:pPr>
        <w:pStyle w:val="ListBullet"/>
      </w:pPr>
      <w:r>
        <w:t>SQLite schema and repository foundations are now implemented behind the repository abstraction. The database layer is a durable persistence foundation; refresh/application integration remains separately staged.</w:t>
      </w:r>
    </w:p>
    <w:p>
      <w:pPr>
        <w:pStyle w:val="ListBullet"/>
      </w:pPr>
      <w:r>
        <w:t>The approved logical data model separates global/reference data, current-season facts, historical facts, manager state, league/rival state, rules, operational ingestion/freshness, predictions, strategy and lineage.</w:t>
      </w:r>
    </w:p>
    <w:p>
      <w:pPr>
        <w:pStyle w:val="ListBullet"/>
      </w:pPr>
      <w:r>
        <w:t>The SQLite schema and repository foundation have been implemented and tested. Production projection and strategy orchestration now exist as deterministic runtime layers above the modelling stack; broader refresh integration and application wiring remain staged.</w:t>
      </w:r>
    </w:p>
    <w:p>
      <w:pPr>
        <w:pStyle w:val="Heading1"/>
      </w:pPr>
      <w:bookmarkStart w:id="1014" w:name="IndexTarget1014"/>
      <w:r>
        <w:t>14. Development Working Agreement</w:t>
      </w:r>
      <w:bookmarkEnd w:id="1014"/>
    </w:p>
    <w:p>
      <w:pPr>
        <w:pStyle w:val="ListBullet"/>
      </w:pPr>
      <w:r>
        <w:t>User is a Python beginner; explanations should be step-by-step and code should include comments that teach the relevant Python concepts.</w:t>
      </w:r>
    </w:p>
    <w:p>
      <w:pPr>
        <w:pStyle w:val="ListBullet"/>
      </w:pPr>
      <w:r>
        <w:t>When replacing a module, provide the complete file rather than partial snippets.</w:t>
      </w:r>
    </w:p>
    <w:p>
      <w:pPr>
        <w:pStyle w:val="ListBullet"/>
      </w:pPr>
      <w:r>
        <w:t>Work in small steps and ask the user to run a small command/set of commands and return the output.</w:t>
      </w:r>
    </w:p>
    <w:p>
      <w:pPr>
        <w:pStyle w:val="ListBullet"/>
      </w:pPr>
      <w:r>
        <w:t>Run local tests before committing.</w:t>
      </w:r>
    </w:p>
    <w:p>
      <w:pPr>
        <w:pStyle w:val="ListBullet"/>
      </w:pPr>
      <w:r>
        <w:t>Commit only relevant files; do not use git add . when unrelated untracked files exist.</w:t>
      </w:r>
    </w:p>
    <w:p>
      <w:pPr>
        <w:pStyle w:val="ListBullet"/>
      </w:pPr>
      <w:r>
        <w:t>Push successful checkpoints to GitHub.</w:t>
      </w:r>
    </w:p>
    <w:p>
      <w:pPr>
        <w:pStyle w:val="ListBullet"/>
      </w:pPr>
      <w:r>
        <w:t>Keep the documentation synchronized at meaningful architecture/data-model/strategy/storage/authentication checkpoints.</w:t>
      </w:r>
    </w:p>
    <w:p>
      <w:pPr>
        <w:pStyle w:val="Heading1"/>
      </w:pPr>
      <w:bookmarkStart w:id="1015" w:name="IndexTarget1015"/>
      <w:r>
        <w:t>15. Thread Reconciliation — v0.8</w:t>
      </w:r>
      <w:bookmarkEnd w:id="1015"/>
    </w:p>
    <w:p>
      <w:r>
        <w:t>The v0.8 checkpoint was explicitly reconstructed against the accumulated project discussion rather than simply editing the previous document. The following material areas were checked and incorporated:</w:t>
      </w:r>
    </w:p>
    <w:p>
      <w:pPr>
        <w:pStyle w:val="ListBullet"/>
      </w:pPr>
      <w:r>
        <w:t>North-star objective and single-team universal optimization.</w:t>
      </w:r>
    </w:p>
    <w:p>
      <w:pPr>
        <w:pStyle w:val="ListBullet"/>
      </w:pPr>
      <w:r>
        <w:t>Multi-league context model and flexible prize structures.</w:t>
      </w:r>
    </w:p>
    <w:p>
      <w:pPr>
        <w:pStyle w:val="ListBullet"/>
      </w:pPr>
      <w:r>
        <w:t>Proactive three-analysis-per-GW operating cadence.</w:t>
      </w:r>
    </w:p>
    <w:p>
      <w:pPr>
        <w:pStyle w:val="ListBullet"/>
      </w:pPr>
      <w:r>
        <w:t>Persistent conversations plus separate strategic memory.</w:t>
      </w:r>
    </w:p>
    <w:p>
      <w:pPr>
        <w:pStyle w:val="ListBullet"/>
      </w:pPr>
      <w:r>
        <w:t>Authoritative state verification after user-reported transfers.</w:t>
      </w:r>
    </w:p>
    <w:p>
      <w:pPr>
        <w:pStyle w:val="ListBullet"/>
      </w:pPr>
      <w:r>
        <w:t>NO DATA = NO ANSWER and provenance/auditability.</w:t>
      </w:r>
    </w:p>
    <w:p>
      <w:pPr>
        <w:pStyle w:val="ListBullet"/>
      </w:pPr>
      <w:r>
        <w:t>₹0 target and cloud-first/mobile-access requirement.</w:t>
      </w:r>
    </w:p>
    <w:p>
      <w:pPr>
        <w:pStyle w:val="ListBullet"/>
      </w:pPr>
      <w:r>
        <w:t>Shared global data versus isolated user data.</w:t>
      </w:r>
    </w:p>
    <w:p>
      <w:pPr>
        <w:pStyle w:val="ListBullet"/>
      </w:pPr>
      <w:r>
        <w:t>Risk-adjusted upside rather than automatic weekly gambling.</w:t>
      </w:r>
    </w:p>
    <w:p>
      <w:pPr>
        <w:pStyle w:val="ListBullet"/>
      </w:pPr>
      <w:r>
        <w:t>Chip opportunity planning and multi-GW strategy.</w:t>
      </w:r>
    </w:p>
    <w:p>
      <w:pPr>
        <w:pStyle w:val="ListBullet"/>
      </w:pPr>
      <w:r>
        <w:t>Dream Team as post-GW evaluation only.</w:t>
      </w:r>
    </w:p>
    <w:p>
      <w:pPr>
        <w:pStyle w:val="ListBullet"/>
      </w:pPr>
      <w:r>
        <w:t>Six-season walk-forward historical modelling plan.</w:t>
      </w:r>
    </w:p>
    <w:p>
      <w:pPr>
        <w:pStyle w:val="ListBullet"/>
      </w:pPr>
      <w:r>
        <w:t>FPL-authoritative historical truth, canonical player-fixture grain, NULL policy and duplicate validation.</w:t>
      </w:r>
    </w:p>
    <w:p>
      <w:pPr>
        <w:pStyle w:val="ListBullet"/>
      </w:pPr>
      <w:r>
        <w:t>Internal team-strength and fixture-model architecture.</w:t>
      </w:r>
    </w:p>
    <w:p>
      <w:pPr>
        <w:pStyle w:val="ListBullet"/>
      </w:pPr>
      <w:r>
        <w:t>Prediction snapshots, actual outcomes, model versions and leakage controls.</w:t>
      </w:r>
    </w:p>
    <w:p>
      <w:pPr>
        <w:pStyle w:val="ListBullet"/>
      </w:pPr>
      <w:r>
        <w:t>Current code/Git checkpoint and modular development workflow.</w:t>
      </w:r>
    </w:p>
    <w:p>
      <w:pPr>
        <w:pStyle w:val="ListBullet"/>
      </w:pPr>
      <w:r>
        <w:t>Roadmap ordering after completion of historical team/player and team-strength layers.</w:t>
      </w:r>
    </w:p>
    <w:p>
      <w:pPr>
        <w:pStyle w:val="Heading2"/>
      </w:pPr>
      <w:r>
        <w:t>16.1 Persistence and Database Foundation</w:t>
      </w:r>
    </w:p>
    <w:p>
      <w:pPr>
        <w:pStyle w:val="ListBullet"/>
      </w:pPr>
      <w:r>
        <w:t>Complete the approved repository-grounded SQLite schema before creating the production database.</w:t>
      </w:r>
    </w:p>
    <w:p>
      <w:pPr>
        <w:pStyle w:val="ListBullet"/>
      </w:pPr>
      <w:r>
        <w:t>Keep strategy and business logic independent of SQLite through a repository/data-store abstraction.</w:t>
      </w:r>
    </w:p>
    <w:p>
      <w:pPr>
        <w:pStyle w:val="ListBullet"/>
      </w:pPr>
      <w:r>
        <w:t>Persist authoritative data, derived data, model outputs and strategy decisions as distinct layers with explicit lineage.</w:t>
      </w:r>
    </w:p>
    <w:p>
      <w:pPr>
        <w:pStyle w:val="ListBullet"/>
      </w:pPr>
      <w:r>
        <w:t>Maintain separate current-season point-in-time tables and immutable historical canonical tables.</w:t>
      </w:r>
    </w:p>
    <w:p>
      <w:pPr>
        <w:pStyle w:val="ListBullet"/>
      </w:pPr>
      <w:r>
        <w:t>Implement ingestion_runs as the authoritative source-retrieval/execution record and dataset_freshness as the resulting freshness state.</w:t>
      </w:r>
    </w:p>
    <w:p>
      <w:pPr>
        <w:pStyle w:val="ListBullet"/>
      </w:pPr>
      <w:r>
        <w:t>Define explicit current-to-historical promotion and freeze procedures so the completed 2026/27 season can become project-owned historical truth without a one-off end-of-season integration.</w:t>
      </w:r>
    </w:p>
    <w:p>
      <w:pPr>
        <w:pStyle w:val="ListNumber"/>
      </w:pPr>
      <w:r>
        <w:t>Completed: production projection pipeline and initial production-facing strategy orchestration integration.</w:t>
      </w:r>
    </w:p>
    <w:p>
      <w:pPr>
        <w:pStyle w:val="ListNumber"/>
      </w:pPr>
      <w:r>
        <w:t>Validate production projection and orchestrator outputs through leakage-safe evaluation before expanding model complexity or application/UI wiring.</w:t>
      </w:r>
    </w:p>
    <w:p>
      <w:pPr>
        <w:pStyle w:val="Heading1"/>
      </w:pPr>
      <w:r>
        <w:t>18. Multi-Horizon Strategy and Scenario Optimization</w:t>
      </w:r>
    </w:p>
    <w:p>
      <w:r>
        <w:t>The strategist shall evaluate transfer and squad-management decisions across multiple planning horizons and produce one coherent strategic recommendation. The horizons are evaluation lenses, not separate recommendation engines.</w:t>
      </w:r>
    </w:p>
    <w:p>
      <w:pPr>
        <w:pStyle w:val="Heading2"/>
      </w:pPr>
      <w:r>
        <w:t>18.1 Planning horizons</w:t>
      </w:r>
    </w:p>
    <w:p>
      <w:pPr>
        <w:pStyle w:val="ListBullet"/>
      </w:pPr>
      <w:r>
        <w:t>Target Gameweek: immediate decision horizon for the next deadline and highest-confidence near-term information.</w:t>
      </w:r>
    </w:p>
    <w:p>
      <w:pPr>
        <w:pStyle w:val="ListBullet"/>
      </w:pPr>
      <w:r>
        <w:t>Short term: target Gameweek plus the next 3 Gameweeks; evaluates immediate transfer consequences and near-term fixture/availability effects.</w:t>
      </w:r>
    </w:p>
    <w:p>
      <w:pPr>
        <w:pStyle w:val="ListBullet"/>
      </w:pPr>
      <w:r>
        <w:t>Medium term: target Gameweek plus the next 5 Gameweeks; evaluates transfer sequencing, free-transfer usage, fixture runs and squad positioning.</w:t>
      </w:r>
    </w:p>
    <w:p>
      <w:pPr>
        <w:pStyle w:val="ListBullet"/>
      </w:pPr>
      <w:r>
        <w:t>Long term: target Gameweek plus the next 8 Gameweeks; provides strategic radar for fixture swings, DGW/BGW preparation, chip windows and future squad direction.</w:t>
      </w:r>
    </w:p>
    <w:p>
      <w:pPr>
        <w:pStyle w:val="Heading2"/>
      </w:pPr>
      <w:r>
        <w:t>18.2 Strategy is the optimization unit</w:t>
      </w:r>
    </w:p>
    <w:p>
      <w:r>
        <w:t>The strategist shall evaluate complete feasible strategy scenarios rather than selecting the highest projected player or single-week transfer in isolation. A scenario may include transfers, free-transfer consumption, hits, captaincy, vice-captaincy, chip usage, future transfer sequencing and the resulting squad flexibility.</w:t>
      </w:r>
    </w:p>
    <w:p>
      <w:pPr>
        <w:pStyle w:val="Heading2"/>
      </w:pPr>
      <w:r>
        <w:t>18.3 Cross-horizon reconciliation</w:t>
      </w:r>
    </w:p>
    <w:p>
      <w:r>
        <w:t>Where the optimal action differs by horizon, the strategist shall explicitly identify the trade-off and determine whether a combined or hybrid strategy provides the strongest overall outcome. A short-term advantage must not automatically override a superior multi-Gameweek strategy when the latter preserves transfers, improves future expected output or avoids a foreseeable forced move.</w:t>
      </w:r>
    </w:p>
    <w:p>
      <w:pPr>
        <w:pStyle w:val="Heading2"/>
      </w:pPr>
      <w:r>
        <w:t>18.4 Strategic explanation</w:t>
      </w:r>
    </w:p>
    <w:p>
      <w:r>
        <w:t>The final recommendation should explain the selected strategy, material alternatives, expected trade-offs by horizon, transfer opportunity cost and relevant uncertainty. For example, a player with lower Target-GW expected points may still be selected if the multi-GW strategy materially improves total expected outcome and avoids a future transfer requirement.</w:t>
      </w:r>
    </w:p>
    <w:p>
      <w:pPr>
        <w:pStyle w:val="Heading2"/>
      </w:pPr>
      <w:r>
        <w:t>18.5 Product architecture implication</w:t>
      </w:r>
    </w:p>
    <w:p>
      <w:r>
        <w:t>Production projection provides the common quantitative future-state inputs. Scenario generation and evaluation compare feasible strategies across the horizons. Strategic orchestration reconciles those results into one StrategicDecision. LLM reasoning, where used, is explanatory and must operate on verified scenario outputs rather than inventing source-of-truth facts.</w:t>
      </w:r>
    </w:p>
    <w:p>
      <w:pPr>
        <w:pStyle w:val="Heading1"/>
      </w:pPr>
      <w:r>
        <w:t>Documentation Governance and Change Control</w:t>
      </w:r>
    </w:p>
    <w:p>
      <w:pPr>
        <w:pStyle w:val="ListBullet"/>
      </w:pPr>
      <w:r>
        <w:t>Documentation is maintained as a living set: BRD, Functional Specification, Technical Specification and Architecture &amp; Decision Log must remain mutually consistent with the repository and each other.</w:t>
      </w:r>
    </w:p>
    <w:p>
      <w:pPr>
        <w:pStyle w:val="ListBullet"/>
      </w:pPr>
      <w:r>
        <w:t>Material architecture, data-model, persistence, trust, modelling or operating decisions require a versioned documentation update and, where applicable, an Architecture Decision Log entry before the implementation is treated as the new baseline.</w:t>
      </w:r>
    </w:p>
    <w:p>
      <w:pPr>
        <w:pStyle w:val="ListBullet"/>
      </w:pPr>
      <w:r>
        <w:t>Git commit history is the implementation evidence; the documentation change log records the corresponding design/documentation checkpoint in IST. Documentation must not invent historical timestamps that cannot be verified.</w:t>
      </w:r>
    </w:p>
    <w:p>
      <w:pPr>
        <w:pStyle w:val="ListBullet"/>
      </w:pPr>
      <w:r>
        <w:t>The project documentation set should be stored under a repository documentation directory so future sessions can review the current design baseline directly from version control.</w:t>
      </w:r>
    </w:p>
    <w:p>
      <w:pPr>
        <w:pStyle w:val="Heading1"/>
      </w:pPr>
      <w:bookmarkStart w:id="1016" w:name="IndexTarget1016"/>
      <w:r>
        <w:t>16. Roadmap</w:t>
      </w:r>
      <w:bookmarkEnd w:id="1016"/>
    </w:p>
    <w:p>
      <w:pPr>
        <w:pStyle w:val="ListNumber"/>
      </w:pPr>
      <w:r>
        <w:t>Formalize Historical Prior Layer specification and leakage-safe validation.</w:t>
      </w:r>
    </w:p>
    <w:p>
      <w:pPr>
        <w:pStyle w:val="ListNumber"/>
      </w:pPr>
      <w:r>
        <w:t>Complete internal fixture model.</w:t>
      </w:r>
    </w:p>
    <w:p>
      <w:pPr>
        <w:pStyle w:val="ListNumber"/>
      </w:pPr>
      <w:r>
        <w:t>Integrate official FPL FDR as a benchmark signal.</w:t>
      </w:r>
    </w:p>
    <w:p>
      <w:pPr>
        <w:pStyle w:val="ListNumber"/>
      </w:pPr>
      <w:r>
        <w:t>Create prediction snapshots and provenance storage.</w:t>
      </w:r>
    </w:p>
    <w:p>
      <w:pPr>
        <w:pStyle w:val="ListNumber"/>
      </w:pPr>
      <w:r>
        <w:t>Build expected-goals foundation and leakage-safe player features.</w:t>
      </w:r>
    </w:p>
    <w:p>
      <w:pPr>
        <w:pStyle w:val="ListNumber"/>
      </w:pPr>
      <w:r>
        <w:t>Build expected-points model.</w:t>
      </w:r>
    </w:p>
    <w:p>
      <w:pPr>
        <w:pStyle w:val="ListNumber"/>
      </w:pPr>
      <w:r>
        <w:t>Build transfer, XI, captain and chip strategy engines.</w:t>
      </w:r>
    </w:p>
    <w:p>
      <w:pPr>
        <w:pStyle w:val="ListNumber"/>
      </w:pPr>
      <w:r>
        <w:t>Add multi-GW simulation/planning.</w:t>
      </w:r>
    </w:p>
    <w:p>
      <w:pPr>
        <w:pStyle w:val="ListNumber"/>
      </w:pPr>
      <w:r>
        <w:t>Add rival context and verified news/injury intelligence.</w:t>
      </w:r>
    </w:p>
    <w:p>
      <w:pPr>
        <w:pStyle w:val="ListNumber"/>
      </w:pPr>
      <w:r>
        <w:t>Add model evaluation and learning/ensemble only after sufficient walk-forward evidence.</w:t>
      </w:r>
    </w:p>
    <w:p>
      <w:pPr>
        <w:pStyle w:val="ListNumber"/>
      </w:pPr>
      <w:r>
        <w:t>Add multi-user authentication and production-grade cloud persistence.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v1.6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 Strategist — Business Requirements</dc:title>
  <dc:subject>Business requirements, strategic objectives and product scope</dc:subject>
  <dc:creator>python-docx</dc:creator>
  <cp:keywords/>
  <dc:description>Documentation-only design checkpoint; supersedes prior version. Code implementation not yet completed.</dc:description>
  <cp:lastModifiedBy/>
  <cp:revision>1</cp:revision>
  <dcterms:created xsi:type="dcterms:W3CDTF">2013-12-23T23:15:00Z</dcterms:created>
  <dcterms:modified xsi:type="dcterms:W3CDTF">2013-12-23T23:15:00Z</dcterms:modified>
  <cp:category/>
  <cp:version>v0.9</cp:version>
</cp:coreProperties>
</file>