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SAP S/4HANA – 109 MCQs with Answers (ABCD Format)</w:t>
      </w:r>
    </w:p>
    <w:p>
      <w:r>
        <w:t>Q1.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Q10.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Q11.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Q12.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Q13.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Q14.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Q15.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Q16.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Q17.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Q18.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Q19.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Q20.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Q21.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Q22.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Q23.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Q24.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Q25.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Q26.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Q27.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Q28.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Q29.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Q30.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Q31.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Q32.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Q33.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Q34.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Q35.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Q36.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Q37.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Q38.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Q39.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Q40.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Q41.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Q42.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Q43.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Q44.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Q45.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Q46.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Q47.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Q48.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Q49.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Q50.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Q51.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Q52.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Q53.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Q54.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Q55.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Q56.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Q57.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Q58.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Q59.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Q60.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Q61.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Q62.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Q63.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Q64.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Q65.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Q66.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Q67.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Q68.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Q69.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Q70.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Q71.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Q72.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Q73.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Q74.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Q75.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Q76.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Q77.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Q78.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Q79.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Q80.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Q81.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Q82.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Q83.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Q84.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Q85.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Q86.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Q87.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Q88.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Q89.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Q90.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Q91.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Q92.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Q93.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Q94.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Q95.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Q96.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Q97.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Q98.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Q99.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Q100.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p>
      <w:r>
        <w:t>Q101. What are the features of SAP S/4HANA for advanced compliance reporting?</w:t>
      </w:r>
    </w:p>
    <w:p>
      <w:pPr>
        <w:pStyle w:val="ListBullet"/>
      </w:pPr>
      <w:r>
        <w:t>A. Works as an add-on installation and not part of Digital Core</w:t>
      </w:r>
    </w:p>
    <w:p>
      <w:pPr>
        <w:pStyle w:val="ListBullet"/>
      </w:pPr>
      <w:r>
        <w:t>B. Consistent and uniform Fiori interface for country-specific reporting</w:t>
      </w:r>
    </w:p>
    <w:p>
      <w:pPr>
        <w:pStyle w:val="ListBullet"/>
      </w:pPr>
      <w:r>
        <w:t>C. Configured only in S/4HANA On-Premise</w:t>
      </w:r>
    </w:p>
    <w:p>
      <w:pPr>
        <w:pStyle w:val="ListBullet"/>
      </w:pPr>
      <w:r>
        <w:t>D. Supports multiple legal output formats such as XML, XBRL, Flat file</w:t>
      </w:r>
    </w:p>
    <w:p>
      <w:r>
        <w:t>Correct Answer: BD</w:t>
      </w:r>
    </w:p>
    <w:p/>
    <w:p>
      <w:r>
        <w:t>Q102. Is it mandatory to close previous fiscal year in subsequent activation of document splitting?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Depends on company code</w:t>
      </w:r>
    </w:p>
    <w:p>
      <w:r>
        <w:t>Correct Answer: B</w:t>
      </w:r>
    </w:p>
    <w:p/>
    <w:p>
      <w:r>
        <w:t>Q103. Which cost object scenarios are supported in Central Finance?</w:t>
      </w:r>
    </w:p>
    <w:p>
      <w:pPr>
        <w:pStyle w:val="ListBullet"/>
      </w:pPr>
      <w:r>
        <w:t>A. WBS</w:t>
      </w:r>
    </w:p>
    <w:p>
      <w:pPr>
        <w:pStyle w:val="ListBullet"/>
      </w:pPr>
      <w:r>
        <w:t>B. Internal Order</w:t>
      </w:r>
    </w:p>
    <w:p>
      <w:pPr>
        <w:pStyle w:val="ListBullet"/>
      </w:pPr>
      <w:r>
        <w:t>C. Production Order</w:t>
      </w:r>
    </w:p>
    <w:p>
      <w:pPr>
        <w:pStyle w:val="ListBullet"/>
      </w:pPr>
      <w:r>
        <w:t>D. All of the above</w:t>
      </w:r>
    </w:p>
    <w:p>
      <w:r>
        <w:t>Correct Answer: D</w:t>
      </w:r>
    </w:p>
    <w:p/>
    <w:p>
      <w:r>
        <w:t>Q104. SAP S/4HANA Migration Cockpit is used to:</w:t>
      </w:r>
    </w:p>
    <w:p>
      <w:pPr>
        <w:pStyle w:val="ListBullet"/>
      </w:pPr>
      <w:r>
        <w:t>A. Run conversion steps</w:t>
      </w:r>
    </w:p>
    <w:p>
      <w:pPr>
        <w:pStyle w:val="ListBullet"/>
      </w:pPr>
      <w:r>
        <w:t>B. Replicate FI documents to Central Finance</w:t>
      </w:r>
    </w:p>
    <w:p>
      <w:pPr>
        <w:pStyle w:val="ListBullet"/>
      </w:pPr>
      <w:r>
        <w:t>C. Upload master and transactional data</w:t>
      </w:r>
    </w:p>
    <w:p>
      <w:pPr>
        <w:pStyle w:val="ListBullet"/>
      </w:pPr>
      <w:r>
        <w:t>D. Replace LSMW</w:t>
      </w:r>
    </w:p>
    <w:p>
      <w:r>
        <w:t>Correct Answer: CD</w:t>
      </w:r>
    </w:p>
    <w:p/>
    <w:p>
      <w:r>
        <w:t>Q105. How many custom currency types can be assigned to a company code/ledger?</w:t>
      </w:r>
    </w:p>
    <w:p>
      <w:pPr>
        <w:pStyle w:val="ListBullet"/>
      </w:pPr>
      <w:r>
        <w:t>A. 6</w:t>
      </w:r>
    </w:p>
    <w:p>
      <w:pPr>
        <w:pStyle w:val="ListBullet"/>
      </w:pPr>
      <w:r>
        <w:t>B. 8</w:t>
      </w:r>
    </w:p>
    <w:p>
      <w:pPr>
        <w:pStyle w:val="ListBullet"/>
      </w:pPr>
      <w:r>
        <w:t>C. 10</w:t>
      </w:r>
    </w:p>
    <w:p>
      <w:pPr>
        <w:pStyle w:val="ListBullet"/>
      </w:pPr>
      <w:r>
        <w:t>D. 12</w:t>
      </w:r>
    </w:p>
    <w:p>
      <w:r>
        <w:t>Correct Answer: B</w:t>
      </w:r>
    </w:p>
    <w:p/>
    <w:p>
      <w:r>
        <w:t>Q106. Is it possible to set different fiscal year variants in leading and non-leading ledgers?</w:t>
      </w:r>
    </w:p>
    <w:p>
      <w:pPr>
        <w:pStyle w:val="ListBullet"/>
      </w:pPr>
      <w:r>
        <w:t>A. Yes</w:t>
      </w:r>
    </w:p>
    <w:p>
      <w:pPr>
        <w:pStyle w:val="ListBullet"/>
      </w:pPr>
      <w:r>
        <w:t>B. No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cloud</w:t>
      </w:r>
    </w:p>
    <w:p>
      <w:r>
        <w:t>Correct Answer: A</w:t>
      </w:r>
    </w:p>
    <w:p/>
    <w:p>
      <w:r>
        <w:t>Q107. Which extension ledger type records commitments and statistical postings?</w:t>
      </w:r>
    </w:p>
    <w:p>
      <w:pPr>
        <w:pStyle w:val="ListBullet"/>
      </w:pPr>
      <w:r>
        <w:t>A. Extension</w:t>
      </w:r>
    </w:p>
    <w:p>
      <w:pPr>
        <w:pStyle w:val="ListBullet"/>
      </w:pPr>
      <w:r>
        <w:t>B. Simulation</w:t>
      </w:r>
    </w:p>
    <w:p>
      <w:pPr>
        <w:pStyle w:val="ListBullet"/>
      </w:pPr>
      <w:r>
        <w:t>C. Prediction and Commitments</w:t>
      </w:r>
    </w:p>
    <w:p>
      <w:pPr>
        <w:pStyle w:val="ListBullet"/>
      </w:pPr>
      <w:r>
        <w:t>D. Valuation</w:t>
      </w:r>
    </w:p>
    <w:p>
      <w:r>
        <w:t>Correct Answer: C</w:t>
      </w:r>
    </w:p>
    <w:p/>
    <w:p>
      <w:r>
        <w:t>Q108. Which is an example of SAP Business AI–Finance solution?</w:t>
      </w:r>
    </w:p>
    <w:p>
      <w:pPr>
        <w:pStyle w:val="ListBullet"/>
      </w:pPr>
      <w:r>
        <w:t>A. SAP Predictive Accounting</w:t>
      </w:r>
    </w:p>
    <w:p>
      <w:pPr>
        <w:pStyle w:val="ListBullet"/>
      </w:pPr>
      <w:r>
        <w:t>B. Asset Explorer</w:t>
      </w:r>
    </w:p>
    <w:p>
      <w:pPr>
        <w:pStyle w:val="ListBullet"/>
      </w:pPr>
      <w:r>
        <w:t>C. SAP Accrual Engine</w:t>
      </w:r>
    </w:p>
    <w:p>
      <w:pPr>
        <w:pStyle w:val="ListBullet"/>
      </w:pPr>
      <w:r>
        <w:t>D. Bank Auto Clearing</w:t>
      </w:r>
    </w:p>
    <w:p>
      <w:r>
        <w:t>Correct Answer: A</w:t>
      </w:r>
    </w:p>
    <w:p/>
    <w:p>
      <w:r>
        <w:t>Q109. A tax calculation procedure is assigned to every company code.</w:t>
      </w:r>
    </w:p>
    <w:p>
      <w:pPr>
        <w:pStyle w:val="ListBullet"/>
      </w:pPr>
      <w:r>
        <w:t>A. True</w:t>
      </w:r>
    </w:p>
    <w:p>
      <w:pPr>
        <w:pStyle w:val="ListBullet"/>
      </w:pPr>
      <w:r>
        <w:t>B. False</w:t>
      </w:r>
    </w:p>
    <w:p>
      <w:pPr>
        <w:pStyle w:val="ListBullet"/>
      </w:pPr>
      <w:r>
        <w:t>C. Only in ECC</w:t>
      </w:r>
    </w:p>
    <w:p>
      <w:pPr>
        <w:pStyle w:val="ListBullet"/>
      </w:pPr>
      <w:r>
        <w:t>D. Only in S/4HANA</w:t>
      </w:r>
    </w:p>
    <w:p>
      <w:r>
        <w:t>Correct Answer: A</w:t>
      </w:r>
    </w:p>
    <w:p/>
    <w:p>
      <w:r>
        <w:t>Q110. Which characteristics apply to Accounts Approach in S/4HANA?</w:t>
      </w:r>
    </w:p>
    <w:p>
      <w:pPr>
        <w:pStyle w:val="ListBullet"/>
      </w:pPr>
      <w:r>
        <w:t>A. Same G/L accounts for different accounting principles</w:t>
      </w:r>
    </w:p>
    <w:p>
      <w:pPr>
        <w:pStyle w:val="ListBullet"/>
      </w:pPr>
      <w:r>
        <w:t>B. Separate financial statements needed</w:t>
      </w:r>
    </w:p>
    <w:p>
      <w:pPr>
        <w:pStyle w:val="ListBullet"/>
      </w:pPr>
      <w:r>
        <w:t>C. Ledger-based valuation</w:t>
      </w:r>
    </w:p>
    <w:p>
      <w:pPr>
        <w:pStyle w:val="ListBullet"/>
      </w:pPr>
      <w:r>
        <w:t>D. One APC account per accounting principle</w:t>
      </w:r>
    </w:p>
    <w:p>
      <w:r>
        <w:t>Correct 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