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System Creation Report</w:t>
      </w:r>
    </w:p>
    <w:p>
      <w:r>
        <w:t>Project Link: https://www.figma.com/make/Qqm3aoasE1jQdswMomUs0I/Design-System-Creation</w:t>
      </w:r>
    </w:p>
    <w:p>
      <w:pPr>
        <w:pStyle w:val="Heading1"/>
      </w:pPr>
      <w:r>
        <w:t>Introduction</w:t>
      </w:r>
    </w:p>
    <w:p>
      <w:r>
        <w:t>This report presents the Design System Creation project developed in Figma. A design system is a collection of reusable components, design tokens, typography standards, color palettes, spacing rules, and documentation that helps teams create consistent digital products.</w:t>
      </w:r>
    </w:p>
    <w:p>
      <w:pPr>
        <w:pStyle w:val="Heading1"/>
      </w:pPr>
      <w:r>
        <w:t>Project Overview</w:t>
      </w:r>
    </w:p>
    <w:p>
      <w:r>
        <w:t>The goal of this project is to establish a scalable and reusable design language that can be used across multiple products and platforms. The system improves consistency, efficiency, collaboration, and development speed.</w:t>
      </w:r>
    </w:p>
    <w:p>
      <w:pPr>
        <w:pStyle w:val="Heading1"/>
      </w:pPr>
      <w:r>
        <w:t>Color System</w:t>
      </w:r>
    </w:p>
    <w:p>
      <w:r>
        <w:t>The design system includes primary, secondary, background, foreground, success, warning, and error colors. These color tokens ensure consistency and accessibility throughout the user interface.</w:t>
      </w:r>
    </w:p>
    <w:p>
      <w:pPr>
        <w:pStyle w:val="Heading1"/>
      </w:pPr>
      <w:r>
        <w:t>Typography System</w:t>
      </w:r>
    </w:p>
    <w:p>
      <w:r>
        <w:t>Typography guidelines define font families, sizes, weights, hierarchy, and spacing. A clear typographic scale improves readability and creates a structured visual hierarchy.</w:t>
      </w:r>
    </w:p>
    <w:p>
      <w:pPr>
        <w:pStyle w:val="Heading1"/>
      </w:pPr>
      <w:r>
        <w:t>Components and Tokens</w:t>
      </w:r>
    </w:p>
    <w:p>
      <w:r>
        <w:t>Reusable design components and tokens help designers and developers maintain consistency. Buttons, forms, cards, spacing units, and color variables can be reused throughout projects.</w:t>
      </w:r>
    </w:p>
    <w:p>
      <w:pPr>
        <w:pStyle w:val="Heading1"/>
      </w:pPr>
      <w:r>
        <w:t>Benefits of the Design System</w:t>
      </w:r>
    </w:p>
    <w:p>
      <w:r>
        <w:t>The system reduces design inconsistencies, speeds up development, improves collaboration, and creates a better user experience across products.</w:t>
      </w:r>
    </w:p>
    <w:p>
      <w:pPr>
        <w:pStyle w:val="Heading1"/>
      </w:pPr>
      <w:r>
        <w:t>Conclusion</w:t>
      </w:r>
    </w:p>
    <w:p>
      <w:r>
        <w:t>The Design System Creation project demonstrates the importance of standardized UI elements and documentation. It provides a strong foundation for building scalable and maintainable digital products.</w:t>
      </w:r>
    </w:p>
    <w:p>
      <w:pPr>
        <w:pStyle w:val="Heading1"/>
      </w:pPr>
      <w:r>
        <w:t>Screenshots and Analysis</w:t>
      </w:r>
    </w:p>
    <w:p>
      <w:pPr>
        <w:pStyle w:val="Heading2"/>
      </w:pPr>
      <w:r>
        <w:t>Design System Overview</w:t>
      </w:r>
    </w:p>
    <w:p>
      <w:r>
        <w:drawing>
          <wp:inline xmlns:a="http://schemas.openxmlformats.org/drawingml/2006/main" xmlns:pic="http://schemas.openxmlformats.org/drawingml/2006/picture">
            <wp:extent cx="5303520" cy="2744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52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4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Typography and Grid System</w:t>
      </w:r>
    </w:p>
    <w:p>
      <w:r>
        <w:drawing>
          <wp:inline xmlns:a="http://schemas.openxmlformats.org/drawingml/2006/main" xmlns:pic="http://schemas.openxmlformats.org/drawingml/2006/picture">
            <wp:extent cx="5303520" cy="31700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54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0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Features and Components</w:t>
      </w:r>
    </w:p>
    <w:p>
      <w:r>
        <w:drawing>
          <wp:inline xmlns:a="http://schemas.openxmlformats.org/drawingml/2006/main" xmlns:pic="http://schemas.openxmlformats.org/drawingml/2006/picture">
            <wp:extent cx="5303520" cy="2631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280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1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UI Component Examples</w:t>
      </w:r>
    </w:p>
    <w:p>
      <w:r>
        <w:drawing>
          <wp:inline xmlns:a="http://schemas.openxmlformats.org/drawingml/2006/main" xmlns:pic="http://schemas.openxmlformats.org/drawingml/2006/picture">
            <wp:extent cx="5303520" cy="2518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2828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8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Design Validation and Results</w:t>
      </w:r>
    </w:p>
    <w:p>
      <w:r>
        <w:drawing>
          <wp:inline xmlns:a="http://schemas.openxmlformats.org/drawingml/2006/main" xmlns:pic="http://schemas.openxmlformats.org/drawingml/2006/picture">
            <wp:extent cx="5303520" cy="31813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2853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13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