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hyperlink r:id="rId6">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Explanation: Botium must comply with GDPR rules and regulations since they are planning to expand their business across the globe and also they have to ensure the privacy of EU citizens.</w:t>
      </w:r>
    </w:p>
    <w:p w:rsidR="00000000" w:rsidDel="00000000" w:rsidP="00000000" w:rsidRDefault="00000000" w:rsidRPr="00000000" w14:paraId="00000013">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Botium must also comply. They will do payment processing and they have to ensure the credit card data is sensitive information which they have to prevent from unauthorized data access. </w:t>
      </w:r>
    </w:p>
    <w:p w:rsidR="00000000" w:rsidDel="00000000" w:rsidP="00000000" w:rsidRDefault="00000000" w:rsidRPr="00000000" w14:paraId="00000014">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SOC1 and SOC2 are a series of reports that focus on the user policies, financial compliance and levels of risk. </w:t>
      </w:r>
    </w:p>
    <w:p w:rsidR="00000000" w:rsidDel="00000000" w:rsidP="00000000" w:rsidRDefault="00000000" w:rsidRPr="00000000" w14:paraId="00000015">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6">
      <w:pPr>
        <w:spacing w:after="200" w:line="360" w:lineRule="auto"/>
        <w:ind w:left="720" w:firstLine="0"/>
        <w:rPr>
          <w:rFonts w:ascii="Google Sans" w:cs="Google Sans" w:eastAsia="Google Sans" w:hAnsi="Google Sans"/>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of-cybersecurity/supplement/xu4pr/controls-frameworks-and-compl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