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6522ABF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SASS,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6846C791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Power BI, </w:t>
      </w:r>
      <w:r>
        <w:t>GitHub, JIRA, Informatica</w:t>
      </w:r>
      <w:r w:rsidR="00452DB7">
        <w:t>, M</w:t>
      </w:r>
      <w:r w:rsidR="00B750AA">
        <w:t>ATLAB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74057932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p w14:paraId="6DB673D2" w14:textId="6696C6D2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>, Postman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47AD9B5D" w:rsidR="00694333" w:rsidRP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sectPr w:rsidR="00694333" w:rsidRPr="00694333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85369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2</cp:revision>
  <cp:lastPrinted>2022-10-13T23:20:00Z</cp:lastPrinted>
  <dcterms:created xsi:type="dcterms:W3CDTF">2023-06-10T04:25:00Z</dcterms:created>
  <dcterms:modified xsi:type="dcterms:W3CDTF">2023-06-10T04:25:00Z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